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11183" w14:textId="77777777" w:rsidR="00952A8C" w:rsidRDefault="00952A8C" w:rsidP="00952A8C"/>
    <w:p w14:paraId="1DE9B7F1" w14:textId="202FD1D0" w:rsidR="00952A8C" w:rsidRPr="00573DEE" w:rsidRDefault="00952A8C" w:rsidP="00952A8C">
      <w:pPr>
        <w:jc w:val="center"/>
        <w:rPr>
          <w:rFonts w:ascii="Times New Roman" w:hAnsi="Times New Roman" w:cs="Times New Roman"/>
          <w:b/>
          <w:sz w:val="28"/>
          <w:szCs w:val="24"/>
        </w:rPr>
      </w:pPr>
      <w:r w:rsidRPr="00573DEE">
        <w:rPr>
          <w:rFonts w:ascii="Times New Roman" w:hAnsi="Times New Roman" w:cs="Times New Roman"/>
          <w:b/>
          <w:noProof/>
          <w:sz w:val="28"/>
          <w:szCs w:val="24"/>
        </w:rPr>
        <mc:AlternateContent>
          <mc:Choice Requires="wps">
            <w:drawing>
              <wp:anchor distT="0" distB="0" distL="114300" distR="114300" simplePos="0" relativeHeight="251660288" behindDoc="0" locked="0" layoutInCell="1" allowOverlap="1" wp14:anchorId="1CB24FB9" wp14:editId="7FA937E2">
                <wp:simplePos x="0" y="0"/>
                <wp:positionH relativeFrom="column">
                  <wp:posOffset>-104775</wp:posOffset>
                </wp:positionH>
                <wp:positionV relativeFrom="paragraph">
                  <wp:posOffset>581025</wp:posOffset>
                </wp:positionV>
                <wp:extent cx="62579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2579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C0E594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45.75pt" to="484.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oquAEAAGcDAAAOAAAAZHJzL2Uyb0RvYy54bWysU8mO2zAMvRfoPwi6N3aCZjox4gzQCdJL&#10;lwGm/QBGi21AG0Q1Tv6+lOxkpu2t6EUWSfGR75HePpytYScVcfCu5ctFzZlywsvBdS3/8f3w7p4z&#10;TOAkGO9Uyy8K+cPu7ZvtGBq18r03UkVGIA6bMbS8Tyk0VYWiVxZw4YNyFNQ+Wkhkxq6SEUZCt6Za&#10;1fVdNfooQ/RCIZJ3PwX5ruBrrUT6pjWqxEzLqbdUzljOYz6r3RaaLkLoBzG3Af/QhYXBUdEb1B4S&#10;sJ9x+AvKDiJ69DothLeV13oQqnAgNsv6DzbPPQRVuJA4GG4y4f+DFV9Pj+4pkgxjwAbDU8wszjra&#10;/KX+2LmIdbmJpc6JCXLerdYfNqs1Z+Iaq14SQ8T0SXnL8qXlZnCZBzRw+oyJitHT65Psdv4wGFNm&#10;YRwbW75ZF2SgjdAGEhWxQbYcXccZmI5WTaRYENGbQebsjIOxOz6ayE5A435/uF9+3E+PepBq8m7W&#10;dT2PHSF98XJyL+urn1qbYUqbv+HnnveA/ZRTQnmDKMW4XF+VjZspvgiab0cvL0XnKls0zZI2b15e&#10;l9c23V//H7tfAAAA//8DAFBLAwQUAAYACAAAACEAEPLxYOAAAAAJAQAADwAAAGRycy9kb3ducmV2&#10;LnhtbEyPQU/CQBCF7yb+h82YeINtTai0dkuUBOLFRMBwXrpDW+zONt0Fan+9YzzoaTLzXt58L18M&#10;thUX7H3jSEE8jUAglc40VCn42K0mcxA+aDK6dYQKvtDDori9yXVm3JU2eNmGSnAI+UwrqEPoMil9&#10;WaPVfuo6JNaOrrc68NpX0vT6yuG2lQ9RlEirG+IPte5wWWP5uT1bBaOZL99f6/X49rJ/HGeV363W&#10;+5NS93fD8xOIgEP4M8MPPqNDwUwHdybjRatgEicztipIY55sSJOUyx1+D7LI5f8GxTcAAAD//wMA&#10;UEsBAi0AFAAGAAgAAAAhALaDOJL+AAAA4QEAABMAAAAAAAAAAAAAAAAAAAAAAFtDb250ZW50X1R5&#10;cGVzXS54bWxQSwECLQAUAAYACAAAACEAOP0h/9YAAACUAQAACwAAAAAAAAAAAAAAAAAvAQAAX3Jl&#10;bHMvLnJlbHNQSwECLQAUAAYACAAAACEAeVhKKrgBAABnAwAADgAAAAAAAAAAAAAAAAAuAgAAZHJz&#10;L2Uyb0RvYy54bWxQSwECLQAUAAYACAAAACEAEPLxYOAAAAAJAQAADwAAAAAAAAAAAAAAAAASBAAA&#10;ZHJzL2Rvd25yZXYueG1sUEsFBgAAAAAEAAQA8wAAAB8FAAAAAA==&#10;" strokecolor="#4a7ebb"/>
            </w:pict>
          </mc:Fallback>
        </mc:AlternateContent>
      </w:r>
      <w:r w:rsidRPr="00573DEE">
        <w:rPr>
          <w:rFonts w:ascii="Times New Roman" w:hAnsi="Times New Roman" w:cs="Times New Roman"/>
          <w:b/>
          <w:noProof/>
          <w:sz w:val="28"/>
          <w:szCs w:val="24"/>
        </w:rPr>
        <mc:AlternateContent>
          <mc:Choice Requires="wps">
            <w:drawing>
              <wp:anchor distT="0" distB="0" distL="114300" distR="114300" simplePos="0" relativeHeight="251659264" behindDoc="0" locked="0" layoutInCell="1" allowOverlap="1" wp14:anchorId="19D1C47A" wp14:editId="1F6B3B0A">
                <wp:simplePos x="0" y="0"/>
                <wp:positionH relativeFrom="column">
                  <wp:posOffset>-104776</wp:posOffset>
                </wp:positionH>
                <wp:positionV relativeFrom="paragraph">
                  <wp:posOffset>-152400</wp:posOffset>
                </wp:positionV>
                <wp:extent cx="62579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257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BCE9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pt,-12pt" to="48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EnnAEAAJQDAAAOAAAAZHJzL2Uyb0RvYy54bWysU02P0zAQvSPxHyzfadJKu0DUdA+7gguC&#10;FbA/wOuMG0u2xxqbJv33jN02RYCEQFwcf8x7M+/NZHs3eycOQMli6OV61UoBQeNgw76XT1/fvXoj&#10;RcoqDMphgF4eIcm73csX2yl2sMER3QAkmCSkboq9HHOOXdMkPYJXaYURAj8aJK8yH2nfDKQmZveu&#10;2bTtbTMhDZFQQ0p8+3B6lLvKbwzo/MmYBFm4XnJtua5U1+eyNrut6vak4mj1uQz1D1V4ZQMnXage&#10;VFbiG9lfqLzVhAlNXmn0DRpjNVQNrGbd/qTmy6giVC1sToqLTen/0eqPh/vwSGzDFFOX4iMVFbMh&#10;X75cn5irWcfFLJiz0Hx5u7l5/XZzI4W+vDVXYKSU3wN6UTa9dDYUHapThw8pczIOvYTw4Zq67vLR&#10;QQl24TMYYQdOtq7oOhVw70gcFPdTaQ0hr0sPma9GF5ixzi3A9s/Ac3yBQp2YvwEviJoZQ17A3gak&#10;32XP86Vkc4q/OHDSXSx4xuFYm1Kt4dZXhecxLbP147nCrz/T7jsAAAD//wMAUEsDBBQABgAIAAAA&#10;IQBFMkBA4AAAAAsBAAAPAAAAZHJzL2Rvd25yZXYueG1sTI9BS8NAEIXvgv9hGcFbu2nQYGM2pRTE&#10;WpBiFepxmx2TaHY27G6b9N87gqC3NzOPN98rFqPtxAl9aB0pmE0TEEiVMy3VCt5eHyZ3IELUZHTn&#10;CBWcMcCivLwodG7cQC942sVacAiFXCtoYuxzKUPVoNVh6nokvn04b3Xk0dfSeD1wuO1kmiSZtLol&#10;/tDoHlcNVl+7o1Xw7Nfr1XJz/qTtux326Wa/fRoflbq+Gpf3ICKO8c8MP/iMDiUzHdyRTBCdgsks&#10;u2Uri/SGS7Fjns1ZHH43sizk/w7lNwAAAP//AwBQSwECLQAUAAYACAAAACEAtoM4kv4AAADhAQAA&#10;EwAAAAAAAAAAAAAAAAAAAAAAW0NvbnRlbnRfVHlwZXNdLnhtbFBLAQItABQABgAIAAAAIQA4/SH/&#10;1gAAAJQBAAALAAAAAAAAAAAAAAAAAC8BAABfcmVscy8ucmVsc1BLAQItABQABgAIAAAAIQBV6xEn&#10;nAEAAJQDAAAOAAAAAAAAAAAAAAAAAC4CAABkcnMvZTJvRG9jLnhtbFBLAQItABQABgAIAAAAIQBF&#10;MkBA4AAAAAsBAAAPAAAAAAAAAAAAAAAAAPYDAABkcnMvZG93bnJldi54bWxQSwUGAAAAAAQABADz&#10;AAAAAwUAAAAA&#10;" strokecolor="#4472c4 [3204]" strokeweight=".5pt">
                <v:stroke joinstyle="miter"/>
              </v:line>
            </w:pict>
          </mc:Fallback>
        </mc:AlternateContent>
      </w:r>
      <w:r w:rsidRPr="00573DEE">
        <w:rPr>
          <w:rFonts w:ascii="Times New Roman" w:hAnsi="Times New Roman" w:cs="Times New Roman"/>
          <w:b/>
          <w:sz w:val="28"/>
          <w:szCs w:val="24"/>
        </w:rPr>
        <w:t>Summary of Content Changes</w:t>
      </w:r>
      <w:r w:rsidRPr="00573DEE">
        <w:rPr>
          <w:rFonts w:ascii="Times New Roman" w:hAnsi="Times New Roman" w:cs="Times New Roman"/>
          <w:b/>
          <w:sz w:val="28"/>
          <w:szCs w:val="24"/>
        </w:rPr>
        <w:br/>
        <w:t>202</w:t>
      </w:r>
      <w:r w:rsidR="00E16A08">
        <w:rPr>
          <w:rFonts w:ascii="Times New Roman" w:hAnsi="Times New Roman" w:cs="Times New Roman"/>
          <w:b/>
          <w:sz w:val="28"/>
          <w:szCs w:val="24"/>
        </w:rPr>
        <w:t>4</w:t>
      </w:r>
      <w:r w:rsidRPr="00573DEE">
        <w:rPr>
          <w:rFonts w:ascii="Times New Roman" w:hAnsi="Times New Roman" w:cs="Times New Roman"/>
          <w:b/>
          <w:sz w:val="28"/>
          <w:szCs w:val="24"/>
        </w:rPr>
        <w:t>.</w:t>
      </w:r>
      <w:r w:rsidR="00B60F63">
        <w:rPr>
          <w:rFonts w:ascii="Times New Roman" w:hAnsi="Times New Roman" w:cs="Times New Roman"/>
          <w:b/>
          <w:sz w:val="28"/>
          <w:szCs w:val="24"/>
        </w:rPr>
        <w:t>2</w:t>
      </w:r>
      <w:r w:rsidRPr="00573DEE">
        <w:rPr>
          <w:rFonts w:ascii="Times New Roman" w:hAnsi="Times New Roman" w:cs="Times New Roman"/>
          <w:b/>
          <w:sz w:val="28"/>
          <w:szCs w:val="24"/>
        </w:rPr>
        <w:t xml:space="preserve"> Update – </w:t>
      </w:r>
      <w:r w:rsidR="009A4CAC">
        <w:rPr>
          <w:rFonts w:ascii="Times New Roman" w:hAnsi="Times New Roman" w:cs="Times New Roman"/>
          <w:b/>
          <w:sz w:val="28"/>
          <w:szCs w:val="24"/>
        </w:rPr>
        <w:t>April</w:t>
      </w:r>
      <w:r w:rsidR="00055D77">
        <w:rPr>
          <w:rFonts w:ascii="Times New Roman" w:hAnsi="Times New Roman" w:cs="Times New Roman"/>
          <w:b/>
          <w:sz w:val="28"/>
          <w:szCs w:val="24"/>
        </w:rPr>
        <w:t>/May</w:t>
      </w:r>
      <w:r w:rsidR="00E953F6">
        <w:rPr>
          <w:rFonts w:ascii="Times New Roman" w:hAnsi="Times New Roman" w:cs="Times New Roman"/>
          <w:b/>
          <w:sz w:val="28"/>
          <w:szCs w:val="24"/>
        </w:rPr>
        <w:t xml:space="preserve"> 202</w:t>
      </w:r>
      <w:r w:rsidR="00E16A08">
        <w:rPr>
          <w:rFonts w:ascii="Times New Roman" w:hAnsi="Times New Roman" w:cs="Times New Roman"/>
          <w:b/>
          <w:sz w:val="28"/>
          <w:szCs w:val="24"/>
        </w:rPr>
        <w:t>4</w:t>
      </w:r>
    </w:p>
    <w:p w14:paraId="2A425ADD" w14:textId="77777777" w:rsidR="00952A8C" w:rsidRPr="00573DEE" w:rsidRDefault="00952A8C" w:rsidP="00952A8C">
      <w:pPr>
        <w:rPr>
          <w:rFonts w:ascii="Times New Roman" w:hAnsi="Times New Roman" w:cs="Times New Roman"/>
          <w:b/>
          <w:sz w:val="24"/>
          <w:szCs w:val="24"/>
          <w:u w:val="single"/>
        </w:rPr>
      </w:pPr>
    </w:p>
    <w:p w14:paraId="4EA4A09C" w14:textId="77777777" w:rsidR="00952A8C" w:rsidRPr="00180EE0" w:rsidRDefault="00952A8C" w:rsidP="00952A8C">
      <w:pPr>
        <w:rPr>
          <w:rFonts w:cstheme="minorHAnsi"/>
          <w:b/>
          <w:sz w:val="32"/>
          <w:szCs w:val="32"/>
        </w:rPr>
      </w:pPr>
      <w:r w:rsidRPr="00180EE0">
        <w:rPr>
          <w:rFonts w:cstheme="minorHAnsi"/>
          <w:b/>
          <w:sz w:val="32"/>
          <w:szCs w:val="32"/>
        </w:rPr>
        <w:t>General Notes</w:t>
      </w:r>
    </w:p>
    <w:p w14:paraId="6E785731" w14:textId="406DA487" w:rsidR="00D9459B" w:rsidRDefault="00E953F6" w:rsidP="003D518F">
      <w:pPr>
        <w:spacing w:after="0"/>
      </w:pPr>
      <w:r>
        <w:t xml:space="preserve">The </w:t>
      </w:r>
      <w:hyperlink r:id="rId5" w:history="1">
        <w:r w:rsidRPr="00AD679E">
          <w:rPr>
            <w:rStyle w:val="Hyperlink"/>
          </w:rPr>
          <w:t xml:space="preserve">NCUA Supervisory Priorities for </w:t>
        </w:r>
        <w:r w:rsidR="001E323B" w:rsidRPr="00AD679E">
          <w:rPr>
            <w:rStyle w:val="Hyperlink"/>
          </w:rPr>
          <w:t>202</w:t>
        </w:r>
      </w:hyperlink>
      <w:r w:rsidR="00ED6FCF">
        <w:rPr>
          <w:rStyle w:val="Hyperlink"/>
        </w:rPr>
        <w:t>4</w:t>
      </w:r>
      <w:r w:rsidR="001E323B">
        <w:t xml:space="preserve"> include</w:t>
      </w:r>
      <w:r w:rsidR="00B914F2">
        <w:t xml:space="preserve"> credit risk, liquidity risk, </w:t>
      </w:r>
      <w:r w:rsidR="00430146">
        <w:t xml:space="preserve">overdraft programs, fair lending, auto lending (including a review of indirect auto loans), </w:t>
      </w:r>
      <w:r w:rsidR="001771AC">
        <w:t xml:space="preserve">flood insurance, </w:t>
      </w:r>
      <w:r w:rsidR="00430146">
        <w:t>information security, interest rate risk, along with the continued focus on B</w:t>
      </w:r>
      <w:r w:rsidR="00242442">
        <w:t xml:space="preserve">ank Secrecy Act (BSA) and support for small credit unions and minority depository institutions. </w:t>
      </w:r>
      <w:r w:rsidR="001771AC">
        <w:t>Specifically mentioned for certain priorities include the review of policies and procedures.</w:t>
      </w:r>
      <w:r w:rsidR="00796B36">
        <w:t xml:space="preserve">  Policies have been reviewed </w:t>
      </w:r>
      <w:r w:rsidR="00D6536C">
        <w:t>considering</w:t>
      </w:r>
      <w:r w:rsidR="00796B36">
        <w:t xml:space="preserve"> this focus</w:t>
      </w:r>
      <w:r w:rsidR="00631090">
        <w:t>, including 5200 and 5205, liquidity policies</w:t>
      </w:r>
      <w:r w:rsidR="00D6536C">
        <w:t>.</w:t>
      </w:r>
    </w:p>
    <w:p w14:paraId="0362AAFC" w14:textId="77777777" w:rsidR="00CD6E92" w:rsidRDefault="00CD6E92" w:rsidP="003D518F">
      <w:pPr>
        <w:spacing w:after="0"/>
      </w:pPr>
    </w:p>
    <w:p w14:paraId="523133E4" w14:textId="0C267B3D" w:rsidR="00CD6E92" w:rsidRDefault="00967709" w:rsidP="003D518F">
      <w:pPr>
        <w:spacing w:after="0"/>
      </w:pPr>
      <w:r>
        <w:t>This</w:t>
      </w:r>
      <w:r w:rsidR="0079793C">
        <w:t xml:space="preserve"> quarter had the publication of the CFPB’s </w:t>
      </w:r>
      <w:hyperlink r:id="rId6" w:history="1">
        <w:r w:rsidR="0079793C" w:rsidRPr="00F44EC2">
          <w:rPr>
            <w:rStyle w:val="Hyperlink"/>
          </w:rPr>
          <w:t>final rule</w:t>
        </w:r>
      </w:hyperlink>
      <w:r w:rsidR="0079793C">
        <w:t xml:space="preserve"> on credit card penalty fees, which will impact credit unions considered “larger card issuers” under the rule.</w:t>
      </w:r>
      <w:r w:rsidR="0004050A">
        <w:t xml:space="preserve">  While there is currently litigation </w:t>
      </w:r>
      <w:r w:rsidR="00F92F4F">
        <w:t>that may impact this rule, the proposed language has been added to support compliance.</w:t>
      </w:r>
    </w:p>
    <w:p w14:paraId="7BAFF130" w14:textId="77777777" w:rsidR="008E4CED" w:rsidRDefault="008E4CED" w:rsidP="003D518F">
      <w:pPr>
        <w:spacing w:after="0"/>
      </w:pPr>
    </w:p>
    <w:p w14:paraId="4373387F" w14:textId="400085A3" w:rsidR="008E4CED" w:rsidRDefault="008E4CED" w:rsidP="003D518F">
      <w:pPr>
        <w:spacing w:after="0"/>
      </w:pPr>
      <w:r>
        <w:t xml:space="preserve">Additional changes were also made to reflect two final rules </w:t>
      </w:r>
      <w:r w:rsidR="00375355">
        <w:t>impacting the Telephone Consumer Protection Act.  These changes were updated within Model Policy 9600 and the corresponding Procedure 9600.10.</w:t>
      </w:r>
    </w:p>
    <w:p w14:paraId="6654C049" w14:textId="77777777" w:rsidR="00F92F4F" w:rsidRDefault="00F92F4F" w:rsidP="003D518F">
      <w:pPr>
        <w:spacing w:after="0"/>
      </w:pPr>
    </w:p>
    <w:p w14:paraId="259B365F" w14:textId="6D9C746F" w:rsidR="00F92F4F" w:rsidRDefault="00830FB5" w:rsidP="003D518F">
      <w:pPr>
        <w:spacing w:after="0"/>
      </w:pPr>
      <w:r>
        <w:t>This update also contains substantial revisions to the policies addressing the requirements related to the Fair Credit Reporting Act (FCRA).  The CFPB has focused on the impact of credit reporting and the requirements for accuracy and integrity, not only for financial institutions, but for credit reporting agencies.</w:t>
      </w:r>
      <w:r w:rsidR="0063174E">
        <w:t xml:space="preserve">  Additional changes related to the 1100</w:t>
      </w:r>
      <w:r w:rsidR="00847125">
        <w:t>0 Chapter will be forthcoming.</w:t>
      </w:r>
    </w:p>
    <w:p w14:paraId="102361CD" w14:textId="77777777" w:rsidR="00E2041F" w:rsidRDefault="00E2041F" w:rsidP="003D518F">
      <w:pPr>
        <w:spacing w:after="0"/>
      </w:pPr>
    </w:p>
    <w:p w14:paraId="3A9D8AE5" w14:textId="3327511C" w:rsidR="00E2041F" w:rsidRDefault="00E2041F" w:rsidP="003D518F">
      <w:pPr>
        <w:spacing w:after="0"/>
      </w:pPr>
      <w:r>
        <w:t>A new resource, Succession Plan (1520.10) was released in late April</w:t>
      </w:r>
      <w:r w:rsidR="00C22344">
        <w:t xml:space="preserve"> 2024</w:t>
      </w:r>
      <w:r>
        <w:t xml:space="preserve">. All other content was updated </w:t>
      </w:r>
      <w:r w:rsidR="00C22344">
        <w:t>in May 2024.</w:t>
      </w:r>
    </w:p>
    <w:p w14:paraId="0ECDF2F9" w14:textId="77777777" w:rsidR="00C55A5B" w:rsidRDefault="00C55A5B" w:rsidP="00C55A5B">
      <w:pPr>
        <w:pStyle w:val="ListParagraph"/>
      </w:pPr>
    </w:p>
    <w:p w14:paraId="54773821" w14:textId="44E0DB5E" w:rsidR="00180EE0" w:rsidRPr="00180EE0" w:rsidRDefault="00180EE0" w:rsidP="00180EE0">
      <w:pPr>
        <w:rPr>
          <w:rFonts w:cstheme="minorHAnsi"/>
          <w:b/>
          <w:sz w:val="32"/>
          <w:szCs w:val="32"/>
        </w:rPr>
      </w:pPr>
      <w:r w:rsidRPr="00180EE0">
        <w:rPr>
          <w:rFonts w:cstheme="minorHAnsi"/>
          <w:b/>
          <w:sz w:val="32"/>
          <w:szCs w:val="32"/>
        </w:rPr>
        <w:t xml:space="preserve">Model </w:t>
      </w:r>
      <w:r w:rsidR="001523F7">
        <w:rPr>
          <w:rFonts w:cstheme="minorHAnsi"/>
          <w:b/>
          <w:sz w:val="32"/>
          <w:szCs w:val="32"/>
        </w:rPr>
        <w:t xml:space="preserve">Content </w:t>
      </w:r>
      <w:r w:rsidRPr="00180EE0">
        <w:rPr>
          <w:rFonts w:cstheme="minorHAnsi"/>
          <w:b/>
          <w:sz w:val="32"/>
          <w:szCs w:val="32"/>
        </w:rPr>
        <w:t>Updates</w:t>
      </w:r>
    </w:p>
    <w:p w14:paraId="1D541837" w14:textId="56A3EB58" w:rsidR="00180EE0" w:rsidRDefault="006A773E" w:rsidP="008765B3">
      <w:pPr>
        <w:spacing w:after="0"/>
        <w:rPr>
          <w:b/>
          <w:bCs/>
          <w:u w:val="single"/>
        </w:rPr>
      </w:pPr>
      <w:r>
        <w:rPr>
          <w:b/>
          <w:bCs/>
          <w:u w:val="single"/>
        </w:rPr>
        <w:t>1520.10 Succession Plan</w:t>
      </w:r>
      <w:r w:rsidR="0029061E">
        <w:rPr>
          <w:b/>
          <w:bCs/>
          <w:u w:val="single"/>
        </w:rPr>
        <w:t xml:space="preserve"> </w:t>
      </w:r>
      <w:r w:rsidR="0029061E" w:rsidRPr="0029061E">
        <w:rPr>
          <w:b/>
          <w:bCs/>
          <w:i/>
          <w:iCs/>
          <w:color w:val="FF0000"/>
          <w:u w:val="single"/>
        </w:rPr>
        <w:t>**NEW RESOURCE**</w:t>
      </w:r>
    </w:p>
    <w:p w14:paraId="47A7EF4F" w14:textId="23338301" w:rsidR="006A773E" w:rsidRDefault="006A773E" w:rsidP="008765B3">
      <w:pPr>
        <w:spacing w:after="0"/>
        <w:rPr>
          <w:b/>
          <w:bCs/>
          <w:u w:val="single"/>
        </w:rPr>
      </w:pPr>
      <w:r>
        <w:rPr>
          <w:b/>
          <w:bCs/>
          <w:u w:val="single"/>
        </w:rPr>
        <w:t>2024-</w:t>
      </w:r>
      <w:r w:rsidR="00146D2B">
        <w:rPr>
          <w:b/>
          <w:bCs/>
          <w:u w:val="single"/>
        </w:rPr>
        <w:t>2</w:t>
      </w:r>
    </w:p>
    <w:p w14:paraId="6413F6A3" w14:textId="6FBA1236" w:rsidR="00A63D10" w:rsidRPr="00A63D10" w:rsidRDefault="00A63D10" w:rsidP="008765B3">
      <w:pPr>
        <w:spacing w:after="0"/>
        <w:rPr>
          <w:b/>
          <w:bCs/>
          <w:color w:val="FF0000"/>
        </w:rPr>
      </w:pPr>
      <w:r>
        <w:t xml:space="preserve">With the continued emphasis on strategic planning and the anticipation of </w:t>
      </w:r>
      <w:hyperlink r:id="rId7" w:history="1">
        <w:r w:rsidRPr="00352D78">
          <w:rPr>
            <w:rStyle w:val="Hyperlink"/>
          </w:rPr>
          <w:t>pending rulemaking</w:t>
        </w:r>
      </w:hyperlink>
      <w:r>
        <w:t xml:space="preserve"> coming from the NCUA, t</w:t>
      </w:r>
      <w:r w:rsidR="001F70FE">
        <w:t xml:space="preserve">his model template was created to assist credit unions in developing a comprehensive succession plan, naming </w:t>
      </w:r>
      <w:r w:rsidR="000B7DC5">
        <w:t xml:space="preserve">specific key positions and </w:t>
      </w:r>
      <w:r w:rsidR="005F7480">
        <w:t>considering the succession of those positions.  The plan also includes best practices such as establishing a committee</w:t>
      </w:r>
      <w:r w:rsidR="00257B54">
        <w:t>, training, board of directors</w:t>
      </w:r>
      <w:r w:rsidR="00847125">
        <w:t>’</w:t>
      </w:r>
      <w:r w:rsidR="00257B54">
        <w:t xml:space="preserve"> succession, and emergency situations.</w:t>
      </w:r>
      <w:r w:rsidR="0029061E">
        <w:t xml:space="preserve"> </w:t>
      </w:r>
      <w:r w:rsidR="0029061E" w:rsidRPr="0029061E">
        <w:rPr>
          <w:b/>
          <w:bCs/>
          <w:color w:val="FF0000"/>
        </w:rPr>
        <w:t>Recommended</w:t>
      </w:r>
    </w:p>
    <w:p w14:paraId="41AF6A34" w14:textId="77777777" w:rsidR="006A773E" w:rsidRDefault="006A773E" w:rsidP="008765B3">
      <w:pPr>
        <w:spacing w:after="0"/>
        <w:rPr>
          <w:b/>
          <w:bCs/>
          <w:u w:val="single"/>
        </w:rPr>
      </w:pPr>
    </w:p>
    <w:p w14:paraId="1FB713BF" w14:textId="3E3442B2" w:rsidR="00C3042E" w:rsidRDefault="00C3042E" w:rsidP="0088059E">
      <w:pPr>
        <w:spacing w:after="0" w:line="240" w:lineRule="auto"/>
        <w:rPr>
          <w:b/>
          <w:bCs/>
          <w:u w:val="single"/>
        </w:rPr>
      </w:pPr>
      <w:r>
        <w:rPr>
          <w:b/>
          <w:bCs/>
          <w:u w:val="single"/>
        </w:rPr>
        <w:t>2210.11: Individual Retirement Arrangements</w:t>
      </w:r>
    </w:p>
    <w:p w14:paraId="6BF2E97E" w14:textId="73267B59" w:rsidR="00C3042E" w:rsidRDefault="00C3042E" w:rsidP="0088059E">
      <w:pPr>
        <w:spacing w:after="0" w:line="240" w:lineRule="auto"/>
        <w:rPr>
          <w:b/>
          <w:bCs/>
          <w:u w:val="single"/>
        </w:rPr>
      </w:pPr>
      <w:r>
        <w:rPr>
          <w:b/>
          <w:bCs/>
          <w:u w:val="single"/>
        </w:rPr>
        <w:t>2024-2</w:t>
      </w:r>
    </w:p>
    <w:p w14:paraId="4B50BAEC" w14:textId="1CDE7EC8" w:rsidR="00C3042E" w:rsidRPr="001D218A" w:rsidRDefault="00C3042E" w:rsidP="0088059E">
      <w:pPr>
        <w:spacing w:after="0" w:line="240" w:lineRule="auto"/>
      </w:pPr>
      <w:r>
        <w:lastRenderedPageBreak/>
        <w:t xml:space="preserve">This resource was updated to include the </w:t>
      </w:r>
      <w:hyperlink r:id="rId8" w:history="1">
        <w:r w:rsidRPr="00C3042E">
          <w:rPr>
            <w:rStyle w:val="Hyperlink"/>
          </w:rPr>
          <w:t>IRS change</w:t>
        </w:r>
      </w:hyperlink>
      <w:r>
        <w:t xml:space="preserve"> in age from 72 to 73 to make required withdrawals from IRAs</w:t>
      </w:r>
      <w:r w:rsidR="004F479F">
        <w:t xml:space="preserve"> and to adjust the contribution amounts for simplified employee pension (SEP) IRAs. </w:t>
      </w:r>
      <w:r w:rsidR="004F479F" w:rsidRPr="001D218A">
        <w:rPr>
          <w:b/>
          <w:bCs/>
          <w:color w:val="FF0000"/>
        </w:rPr>
        <w:t>Required</w:t>
      </w:r>
      <w:r w:rsidRPr="001D218A">
        <w:rPr>
          <w:b/>
          <w:bCs/>
          <w:color w:val="FF0000"/>
        </w:rPr>
        <w:t xml:space="preserve">  </w:t>
      </w:r>
      <w:r>
        <w:br/>
      </w:r>
    </w:p>
    <w:p w14:paraId="59CE1242" w14:textId="71A9F208" w:rsidR="009539BC" w:rsidRDefault="00CC250D" w:rsidP="0088059E">
      <w:pPr>
        <w:spacing w:after="0" w:line="240" w:lineRule="auto"/>
        <w:rPr>
          <w:b/>
          <w:bCs/>
          <w:u w:val="single"/>
        </w:rPr>
      </w:pPr>
      <w:r>
        <w:rPr>
          <w:b/>
          <w:bCs/>
          <w:u w:val="single"/>
        </w:rPr>
        <w:t>2210.15</w:t>
      </w:r>
      <w:r w:rsidR="00AB34D1">
        <w:rPr>
          <w:b/>
          <w:bCs/>
          <w:u w:val="single"/>
        </w:rPr>
        <w:t>:</w:t>
      </w:r>
      <w:r>
        <w:rPr>
          <w:b/>
          <w:bCs/>
          <w:u w:val="single"/>
        </w:rPr>
        <w:t xml:space="preserve"> Deceased</w:t>
      </w:r>
      <w:r w:rsidR="00AB34D1">
        <w:rPr>
          <w:b/>
          <w:bCs/>
          <w:u w:val="single"/>
        </w:rPr>
        <w:t xml:space="preserve"> Member Issues and Estate Accounts</w:t>
      </w:r>
    </w:p>
    <w:p w14:paraId="7E6A2AD6" w14:textId="0A358047" w:rsidR="00AB34D1" w:rsidRDefault="00AB34D1" w:rsidP="0088059E">
      <w:pPr>
        <w:spacing w:after="0" w:line="240" w:lineRule="auto"/>
        <w:rPr>
          <w:b/>
          <w:bCs/>
          <w:u w:val="single"/>
        </w:rPr>
      </w:pPr>
      <w:r>
        <w:rPr>
          <w:b/>
          <w:bCs/>
          <w:u w:val="single"/>
        </w:rPr>
        <w:t>2024-</w:t>
      </w:r>
      <w:r w:rsidR="00146D2B">
        <w:rPr>
          <w:b/>
          <w:bCs/>
          <w:u w:val="single"/>
        </w:rPr>
        <w:t>2</w:t>
      </w:r>
    </w:p>
    <w:p w14:paraId="7368CA9D" w14:textId="75E0D4EF" w:rsidR="0069104E" w:rsidRDefault="00AB34D1" w:rsidP="0088059E">
      <w:pPr>
        <w:spacing w:after="0" w:line="240" w:lineRule="auto"/>
        <w:rPr>
          <w:b/>
          <w:bCs/>
          <w:color w:val="FF0000"/>
        </w:rPr>
      </w:pPr>
      <w:r>
        <w:t xml:space="preserve">This policy was updated to better align with UCC 4-405 to clarify that credit unions are able to pay checks 10 days after the death of a member, as opposed to 10 days after “learning” </w:t>
      </w:r>
      <w:r w:rsidR="0069104E">
        <w:t>of the death of a member.</w:t>
      </w:r>
      <w:r w:rsidR="00AA0898">
        <w:t xml:space="preserve"> </w:t>
      </w:r>
      <w:r w:rsidR="0069104E" w:rsidRPr="0069104E">
        <w:rPr>
          <w:b/>
          <w:bCs/>
          <w:color w:val="FF0000"/>
        </w:rPr>
        <w:t>Recommended</w:t>
      </w:r>
    </w:p>
    <w:p w14:paraId="7D6A847E" w14:textId="77777777" w:rsidR="00562874" w:rsidRDefault="00562874" w:rsidP="0088059E">
      <w:pPr>
        <w:spacing w:after="0" w:line="240" w:lineRule="auto"/>
        <w:rPr>
          <w:b/>
          <w:bCs/>
          <w:color w:val="FF0000"/>
        </w:rPr>
      </w:pPr>
    </w:p>
    <w:p w14:paraId="46D5C580" w14:textId="30F705A6" w:rsidR="00562874" w:rsidRPr="00DD2093" w:rsidRDefault="00CF1EBD" w:rsidP="0088059E">
      <w:pPr>
        <w:spacing w:after="0" w:line="240" w:lineRule="auto"/>
        <w:rPr>
          <w:u w:val="single"/>
        </w:rPr>
      </w:pPr>
      <w:r w:rsidRPr="00DD2093">
        <w:rPr>
          <w:b/>
          <w:bCs/>
          <w:u w:val="single"/>
        </w:rPr>
        <w:t>2225</w:t>
      </w:r>
      <w:r w:rsidR="002B2214" w:rsidRPr="00DD2093">
        <w:rPr>
          <w:b/>
          <w:bCs/>
          <w:u w:val="single"/>
        </w:rPr>
        <w:t xml:space="preserve">: </w:t>
      </w:r>
      <w:r w:rsidRPr="00DD2093">
        <w:rPr>
          <w:b/>
          <w:bCs/>
          <w:u w:val="single"/>
        </w:rPr>
        <w:t>Digital Banking</w:t>
      </w:r>
    </w:p>
    <w:p w14:paraId="04773213" w14:textId="4186DF23" w:rsidR="00DD2093" w:rsidRPr="00DD2093" w:rsidRDefault="00DD2093" w:rsidP="0088059E">
      <w:pPr>
        <w:spacing w:after="0" w:line="240" w:lineRule="auto"/>
        <w:rPr>
          <w:b/>
          <w:bCs/>
          <w:u w:val="single"/>
        </w:rPr>
      </w:pPr>
      <w:r w:rsidRPr="00DD2093">
        <w:rPr>
          <w:b/>
          <w:bCs/>
          <w:u w:val="single"/>
        </w:rPr>
        <w:t>2024-</w:t>
      </w:r>
      <w:r w:rsidR="00146D2B">
        <w:rPr>
          <w:b/>
          <w:bCs/>
          <w:u w:val="single"/>
        </w:rPr>
        <w:t>2</w:t>
      </w:r>
    </w:p>
    <w:p w14:paraId="44623C26" w14:textId="5579FA85" w:rsidR="00DD2093" w:rsidRPr="00DD2093" w:rsidRDefault="00DD2093" w:rsidP="0088059E">
      <w:pPr>
        <w:spacing w:after="0" w:line="240" w:lineRule="auto"/>
        <w:rPr>
          <w:b/>
          <w:bCs/>
        </w:rPr>
      </w:pPr>
      <w:r>
        <w:t xml:space="preserve">Credit Unions are being asked for specific policies that address P2P transactions.  While there isn’t a regulatory requirement for a separate P2P policy, we have updated </w:t>
      </w:r>
      <w:r w:rsidR="00DF449D">
        <w:t xml:space="preserve">this model policy </w:t>
      </w:r>
      <w:r>
        <w:t>to include more information and guidance on P2P transactions and corresponding risk mitigation.</w:t>
      </w:r>
      <w:r w:rsidR="00AA0898">
        <w:t xml:space="preserve"> </w:t>
      </w:r>
      <w:r w:rsidRPr="00DD2093">
        <w:rPr>
          <w:b/>
          <w:bCs/>
          <w:color w:val="FF0000"/>
        </w:rPr>
        <w:t>Recommended</w:t>
      </w:r>
    </w:p>
    <w:p w14:paraId="1054F1D0" w14:textId="77777777" w:rsidR="00CF1EBD" w:rsidRPr="00BD3A90" w:rsidRDefault="00CF1EBD" w:rsidP="0088059E">
      <w:pPr>
        <w:spacing w:after="0" w:line="240" w:lineRule="auto"/>
        <w:rPr>
          <w:b/>
          <w:bCs/>
        </w:rPr>
      </w:pPr>
    </w:p>
    <w:p w14:paraId="583D24B2" w14:textId="5A6D4FD0" w:rsidR="00CF1EBD" w:rsidRPr="006359C3" w:rsidRDefault="00CF1EBD" w:rsidP="0088059E">
      <w:pPr>
        <w:spacing w:after="0" w:line="240" w:lineRule="auto"/>
        <w:rPr>
          <w:b/>
          <w:bCs/>
          <w:u w:val="single"/>
        </w:rPr>
      </w:pPr>
      <w:r w:rsidRPr="006359C3">
        <w:rPr>
          <w:b/>
          <w:bCs/>
          <w:u w:val="single"/>
        </w:rPr>
        <w:t>2400.10</w:t>
      </w:r>
      <w:r w:rsidR="001A3C63" w:rsidRPr="006359C3">
        <w:rPr>
          <w:b/>
          <w:bCs/>
          <w:u w:val="single"/>
        </w:rPr>
        <w:t xml:space="preserve">: </w:t>
      </w:r>
      <w:r w:rsidRPr="006359C3">
        <w:rPr>
          <w:b/>
          <w:bCs/>
          <w:u w:val="single"/>
        </w:rPr>
        <w:t>Collection of Checks</w:t>
      </w:r>
      <w:r w:rsidR="006359C3" w:rsidRPr="006359C3">
        <w:rPr>
          <w:b/>
          <w:bCs/>
          <w:u w:val="single"/>
        </w:rPr>
        <w:t xml:space="preserve"> Procedure</w:t>
      </w:r>
    </w:p>
    <w:p w14:paraId="17D42683" w14:textId="05FDF193" w:rsidR="001A3C63" w:rsidRPr="006359C3" w:rsidRDefault="001A3C63" w:rsidP="0088059E">
      <w:pPr>
        <w:spacing w:after="0" w:line="240" w:lineRule="auto"/>
        <w:rPr>
          <w:b/>
          <w:bCs/>
          <w:u w:val="single"/>
        </w:rPr>
      </w:pPr>
      <w:r w:rsidRPr="006359C3">
        <w:rPr>
          <w:b/>
          <w:bCs/>
          <w:u w:val="single"/>
        </w:rPr>
        <w:t>2024</w:t>
      </w:r>
      <w:r w:rsidR="00CD672F" w:rsidRPr="006359C3">
        <w:rPr>
          <w:b/>
          <w:bCs/>
          <w:u w:val="single"/>
        </w:rPr>
        <w:t>-</w:t>
      </w:r>
      <w:r w:rsidR="00146D2B">
        <w:rPr>
          <w:b/>
          <w:bCs/>
          <w:u w:val="single"/>
        </w:rPr>
        <w:t>2</w:t>
      </w:r>
    </w:p>
    <w:p w14:paraId="64B847A8" w14:textId="57689EA8" w:rsidR="00131606" w:rsidRPr="006359C3" w:rsidRDefault="00CD672F" w:rsidP="0088059E">
      <w:pPr>
        <w:spacing w:after="0" w:line="240" w:lineRule="auto"/>
        <w:rPr>
          <w:b/>
          <w:bCs/>
          <w:color w:val="FF0000"/>
        </w:rPr>
      </w:pPr>
      <w:r>
        <w:t xml:space="preserve">Section </w:t>
      </w:r>
      <w:r w:rsidR="003D7F0F">
        <w:t xml:space="preserve">16 </w:t>
      </w:r>
      <w:r>
        <w:t xml:space="preserve">– Consumer Awareness was updated to remove the requirement to provide the </w:t>
      </w:r>
      <w:r w:rsidR="001069B7">
        <w:t>required substitute check disclosure at account opening.</w:t>
      </w:r>
      <w:r w:rsidR="00AA0898">
        <w:t xml:space="preserve"> </w:t>
      </w:r>
      <w:r w:rsidR="00131606" w:rsidRPr="006359C3">
        <w:rPr>
          <w:b/>
          <w:bCs/>
          <w:color w:val="FF0000"/>
        </w:rPr>
        <w:t>Recommended</w:t>
      </w:r>
    </w:p>
    <w:p w14:paraId="1EACFD60" w14:textId="77777777" w:rsidR="00CF1EBD" w:rsidRPr="00BD3A90" w:rsidRDefault="00CF1EBD" w:rsidP="0088059E">
      <w:pPr>
        <w:spacing w:after="0" w:line="240" w:lineRule="auto"/>
        <w:rPr>
          <w:b/>
          <w:bCs/>
        </w:rPr>
      </w:pPr>
    </w:p>
    <w:p w14:paraId="0A2701FB" w14:textId="46383A30" w:rsidR="00CF1EBD" w:rsidRPr="00981AAB" w:rsidRDefault="00CF1EBD" w:rsidP="0088059E">
      <w:pPr>
        <w:spacing w:after="0" w:line="240" w:lineRule="auto"/>
        <w:rPr>
          <w:b/>
          <w:bCs/>
          <w:u w:val="single"/>
        </w:rPr>
      </w:pPr>
      <w:r w:rsidRPr="00981AAB">
        <w:rPr>
          <w:b/>
          <w:bCs/>
          <w:u w:val="single"/>
        </w:rPr>
        <w:t>2615.</w:t>
      </w:r>
      <w:r w:rsidR="005D3612" w:rsidRPr="00981AAB">
        <w:rPr>
          <w:b/>
          <w:bCs/>
          <w:u w:val="single"/>
        </w:rPr>
        <w:t xml:space="preserve">10 – Electronic Fund </w:t>
      </w:r>
      <w:r w:rsidR="004636F6" w:rsidRPr="00981AAB">
        <w:rPr>
          <w:b/>
          <w:bCs/>
          <w:u w:val="single"/>
        </w:rPr>
        <w:t>T</w:t>
      </w:r>
      <w:r w:rsidR="005D3612" w:rsidRPr="00981AAB">
        <w:rPr>
          <w:b/>
          <w:bCs/>
          <w:u w:val="single"/>
        </w:rPr>
        <w:t>ransfers</w:t>
      </w:r>
    </w:p>
    <w:p w14:paraId="5837E499" w14:textId="7A293D63" w:rsidR="004636F6" w:rsidRPr="00981AAB" w:rsidRDefault="004636F6" w:rsidP="0088059E">
      <w:pPr>
        <w:spacing w:after="0" w:line="240" w:lineRule="auto"/>
        <w:rPr>
          <w:b/>
          <w:bCs/>
          <w:u w:val="single"/>
        </w:rPr>
      </w:pPr>
      <w:r w:rsidRPr="00981AAB">
        <w:rPr>
          <w:b/>
          <w:bCs/>
          <w:u w:val="single"/>
        </w:rPr>
        <w:t>2024-</w:t>
      </w:r>
      <w:r w:rsidR="00146D2B">
        <w:rPr>
          <w:b/>
          <w:bCs/>
          <w:u w:val="single"/>
        </w:rPr>
        <w:t>2</w:t>
      </w:r>
    </w:p>
    <w:p w14:paraId="39FCD623" w14:textId="639B7CAE" w:rsidR="00981AAB" w:rsidRPr="006359C3" w:rsidRDefault="0029248D" w:rsidP="00981AAB">
      <w:pPr>
        <w:spacing w:after="0" w:line="240" w:lineRule="auto"/>
        <w:rPr>
          <w:b/>
          <w:bCs/>
          <w:color w:val="FF0000"/>
        </w:rPr>
      </w:pPr>
      <w:r>
        <w:t>This resource was updated to include additional information regarding the coverage of Regulation E for person-to-person (P2P) transactions.</w:t>
      </w:r>
      <w:r w:rsidR="00D25AD4">
        <w:t xml:space="preserve">  2615.10 was also updated to </w:t>
      </w:r>
      <w:r w:rsidR="00947A3F">
        <w:t>outline internal controls more generally</w:t>
      </w:r>
      <w:r w:rsidR="00D25AD4">
        <w:t xml:space="preserve"> for sensitive areas of </w:t>
      </w:r>
      <w:r w:rsidR="00981AAB">
        <w:t>the credit union who process transactions.</w:t>
      </w:r>
      <w:r w:rsidR="00AA0898">
        <w:t xml:space="preserve"> </w:t>
      </w:r>
      <w:r w:rsidR="00981AAB" w:rsidRPr="006359C3">
        <w:rPr>
          <w:b/>
          <w:bCs/>
          <w:color w:val="FF0000"/>
        </w:rPr>
        <w:t>Recommended</w:t>
      </w:r>
    </w:p>
    <w:p w14:paraId="04D1B090" w14:textId="77777777" w:rsidR="005D3612" w:rsidRPr="00BD3A90" w:rsidRDefault="005D3612" w:rsidP="0088059E">
      <w:pPr>
        <w:spacing w:after="0" w:line="240" w:lineRule="auto"/>
        <w:rPr>
          <w:b/>
          <w:bCs/>
        </w:rPr>
      </w:pPr>
    </w:p>
    <w:p w14:paraId="77655367" w14:textId="2C2B0E7D" w:rsidR="005D3612" w:rsidRPr="00620EBB" w:rsidRDefault="005D3612" w:rsidP="0088059E">
      <w:pPr>
        <w:spacing w:after="0" w:line="240" w:lineRule="auto"/>
        <w:rPr>
          <w:b/>
          <w:bCs/>
          <w:u w:val="single"/>
        </w:rPr>
      </w:pPr>
      <w:r w:rsidRPr="00620EBB">
        <w:rPr>
          <w:b/>
          <w:bCs/>
          <w:u w:val="single"/>
        </w:rPr>
        <w:t>5200 – Liquidity Management</w:t>
      </w:r>
    </w:p>
    <w:p w14:paraId="01D35E91" w14:textId="41E18CAF" w:rsidR="00FF17D2" w:rsidRPr="00620EBB" w:rsidRDefault="00FF17D2" w:rsidP="0088059E">
      <w:pPr>
        <w:spacing w:after="0" w:line="240" w:lineRule="auto"/>
        <w:rPr>
          <w:b/>
          <w:bCs/>
          <w:u w:val="single"/>
        </w:rPr>
      </w:pPr>
      <w:r w:rsidRPr="00620EBB">
        <w:rPr>
          <w:b/>
          <w:bCs/>
          <w:u w:val="single"/>
        </w:rPr>
        <w:t>2024-</w:t>
      </w:r>
      <w:r w:rsidR="00146D2B">
        <w:rPr>
          <w:b/>
          <w:bCs/>
          <w:u w:val="single"/>
        </w:rPr>
        <w:t>2</w:t>
      </w:r>
    </w:p>
    <w:p w14:paraId="567A900C" w14:textId="3EC1FA9C" w:rsidR="00620EBB" w:rsidRPr="00620EBB" w:rsidRDefault="00620EBB" w:rsidP="0088059E">
      <w:pPr>
        <w:spacing w:after="0" w:line="240" w:lineRule="auto"/>
        <w:rPr>
          <w:b/>
          <w:bCs/>
          <w:color w:val="FF0000"/>
        </w:rPr>
      </w:pPr>
      <w:r>
        <w:t xml:space="preserve">As a supervisory priority for </w:t>
      </w:r>
      <w:r w:rsidR="002D01B2">
        <w:t>the</w:t>
      </w:r>
      <w:r>
        <w:t xml:space="preserve"> NCUA in 2024, this policy was reviewed to see if there were additional changes that could be made to strengthen the content.  The </w:t>
      </w:r>
      <w:hyperlink r:id="rId9" w:history="1">
        <w:r w:rsidRPr="00053F96">
          <w:rPr>
            <w:rStyle w:val="Hyperlink"/>
          </w:rPr>
          <w:t>NCUA examiner’s guide</w:t>
        </w:r>
      </w:hyperlink>
      <w:r>
        <w:t xml:space="preserve"> and guidance was reviewed and corresponding updates were made.</w:t>
      </w:r>
      <w:r w:rsidR="00AA0898">
        <w:t xml:space="preserve"> </w:t>
      </w:r>
      <w:r w:rsidRPr="00620EBB">
        <w:rPr>
          <w:b/>
          <w:bCs/>
          <w:color w:val="FF0000"/>
        </w:rPr>
        <w:t>Recommended</w:t>
      </w:r>
    </w:p>
    <w:p w14:paraId="25A9A6DC" w14:textId="77777777" w:rsidR="00BD3A90" w:rsidRPr="00BD3A90" w:rsidRDefault="00BD3A90" w:rsidP="0088059E">
      <w:pPr>
        <w:spacing w:after="0" w:line="240" w:lineRule="auto"/>
        <w:rPr>
          <w:b/>
          <w:bCs/>
        </w:rPr>
      </w:pPr>
    </w:p>
    <w:p w14:paraId="0DF6E123" w14:textId="4FC0E5D0" w:rsidR="00E42D8B" w:rsidRPr="00620EBB" w:rsidRDefault="00E42D8B" w:rsidP="00E42D8B">
      <w:pPr>
        <w:spacing w:after="0" w:line="240" w:lineRule="auto"/>
        <w:rPr>
          <w:b/>
          <w:bCs/>
          <w:u w:val="single"/>
        </w:rPr>
      </w:pPr>
      <w:r w:rsidRPr="00620EBB">
        <w:rPr>
          <w:b/>
          <w:bCs/>
          <w:u w:val="single"/>
        </w:rPr>
        <w:t>520</w:t>
      </w:r>
      <w:r>
        <w:rPr>
          <w:b/>
          <w:bCs/>
          <w:u w:val="single"/>
        </w:rPr>
        <w:t>5</w:t>
      </w:r>
      <w:r w:rsidRPr="00620EBB">
        <w:rPr>
          <w:b/>
          <w:bCs/>
          <w:u w:val="single"/>
        </w:rPr>
        <w:t xml:space="preserve"> – </w:t>
      </w:r>
      <w:r w:rsidR="00B74069">
        <w:rPr>
          <w:b/>
          <w:bCs/>
          <w:u w:val="single"/>
        </w:rPr>
        <w:t xml:space="preserve">Small Asset </w:t>
      </w:r>
      <w:r w:rsidRPr="00620EBB">
        <w:rPr>
          <w:b/>
          <w:bCs/>
          <w:u w:val="single"/>
        </w:rPr>
        <w:t>Liquidity Management</w:t>
      </w:r>
    </w:p>
    <w:p w14:paraId="5327C24C" w14:textId="04DEE8F9" w:rsidR="00E42D8B" w:rsidRPr="00620EBB" w:rsidRDefault="00E42D8B" w:rsidP="00E42D8B">
      <w:pPr>
        <w:spacing w:after="0" w:line="240" w:lineRule="auto"/>
        <w:rPr>
          <w:b/>
          <w:bCs/>
          <w:u w:val="single"/>
        </w:rPr>
      </w:pPr>
      <w:r w:rsidRPr="00620EBB">
        <w:rPr>
          <w:b/>
          <w:bCs/>
          <w:u w:val="single"/>
        </w:rPr>
        <w:t>2024-</w:t>
      </w:r>
      <w:r w:rsidR="00146D2B">
        <w:rPr>
          <w:b/>
          <w:bCs/>
          <w:u w:val="single"/>
        </w:rPr>
        <w:t>2</w:t>
      </w:r>
    </w:p>
    <w:p w14:paraId="6F06C177" w14:textId="55DC0B9E" w:rsidR="00E42D8B" w:rsidRPr="00620EBB" w:rsidRDefault="00E42D8B" w:rsidP="00E42D8B">
      <w:pPr>
        <w:spacing w:after="0" w:line="240" w:lineRule="auto"/>
        <w:rPr>
          <w:b/>
          <w:bCs/>
          <w:color w:val="FF0000"/>
        </w:rPr>
      </w:pPr>
      <w:r>
        <w:t xml:space="preserve">As a supervisory priority for the NCUA in 2024, this policy was reviewed to see if there were additional changes that could be made to strengthen the content.  The </w:t>
      </w:r>
      <w:hyperlink r:id="rId10" w:history="1">
        <w:r w:rsidRPr="00053F96">
          <w:rPr>
            <w:rStyle w:val="Hyperlink"/>
          </w:rPr>
          <w:t>NCUA examiner’s guide</w:t>
        </w:r>
      </w:hyperlink>
      <w:r>
        <w:t xml:space="preserve"> and guidance was reviewed and corresponding updates were made.</w:t>
      </w:r>
      <w:r w:rsidR="00AA0898">
        <w:t xml:space="preserve"> </w:t>
      </w:r>
      <w:r w:rsidRPr="00620EBB">
        <w:rPr>
          <w:b/>
          <w:bCs/>
          <w:color w:val="FF0000"/>
        </w:rPr>
        <w:t>Recommended</w:t>
      </w:r>
    </w:p>
    <w:p w14:paraId="6E214C5D" w14:textId="77777777" w:rsidR="00BD3A90" w:rsidRPr="00BD3A90" w:rsidRDefault="00BD3A90" w:rsidP="0088059E">
      <w:pPr>
        <w:spacing w:after="0" w:line="240" w:lineRule="auto"/>
        <w:rPr>
          <w:b/>
          <w:bCs/>
        </w:rPr>
      </w:pPr>
    </w:p>
    <w:p w14:paraId="016BF758" w14:textId="5F0AFD65" w:rsidR="00CD4AEC" w:rsidRPr="00D017C6" w:rsidRDefault="00CD4AEC" w:rsidP="00CD4AEC">
      <w:pPr>
        <w:spacing w:after="0" w:line="240" w:lineRule="auto"/>
        <w:rPr>
          <w:b/>
          <w:bCs/>
          <w:u w:val="single"/>
        </w:rPr>
      </w:pPr>
      <w:r>
        <w:rPr>
          <w:b/>
          <w:bCs/>
          <w:u w:val="single"/>
        </w:rPr>
        <w:t xml:space="preserve">7140 </w:t>
      </w:r>
      <w:r w:rsidR="006C13E5">
        <w:rPr>
          <w:b/>
          <w:bCs/>
          <w:u w:val="single"/>
        </w:rPr>
        <w:t>–</w:t>
      </w:r>
      <w:r>
        <w:rPr>
          <w:b/>
          <w:bCs/>
          <w:u w:val="single"/>
        </w:rPr>
        <w:t xml:space="preserve"> </w:t>
      </w:r>
      <w:r w:rsidR="006C13E5">
        <w:rPr>
          <w:b/>
          <w:bCs/>
          <w:u w:val="single"/>
        </w:rPr>
        <w:t xml:space="preserve">Loan Add-On Products </w:t>
      </w:r>
      <w:r w:rsidR="006C13E5" w:rsidRPr="006C13E5">
        <w:rPr>
          <w:b/>
          <w:bCs/>
          <w:i/>
          <w:iCs/>
          <w:color w:val="FF0000"/>
          <w:u w:val="single"/>
        </w:rPr>
        <w:t>**</w:t>
      </w:r>
      <w:r w:rsidR="00BF1FCD">
        <w:rPr>
          <w:b/>
          <w:bCs/>
          <w:i/>
          <w:iCs/>
          <w:color w:val="FF0000"/>
          <w:u w:val="single"/>
        </w:rPr>
        <w:t>Policy Name Updated</w:t>
      </w:r>
      <w:r w:rsidR="006C13E5" w:rsidRPr="006C13E5">
        <w:rPr>
          <w:b/>
          <w:bCs/>
          <w:i/>
          <w:iCs/>
          <w:color w:val="FF0000"/>
          <w:u w:val="single"/>
        </w:rPr>
        <w:t>**</w:t>
      </w:r>
    </w:p>
    <w:p w14:paraId="25FCA2A4" w14:textId="769C524C" w:rsidR="00CD4AEC" w:rsidRPr="00D017C6" w:rsidRDefault="00CD4AEC" w:rsidP="00CD4AEC">
      <w:pPr>
        <w:spacing w:after="0" w:line="240" w:lineRule="auto"/>
        <w:rPr>
          <w:b/>
          <w:bCs/>
          <w:u w:val="single"/>
        </w:rPr>
      </w:pPr>
      <w:r w:rsidRPr="00D017C6">
        <w:rPr>
          <w:b/>
          <w:bCs/>
          <w:u w:val="single"/>
        </w:rPr>
        <w:t>2024-</w:t>
      </w:r>
      <w:r w:rsidR="00146D2B">
        <w:rPr>
          <w:b/>
          <w:bCs/>
          <w:u w:val="single"/>
        </w:rPr>
        <w:t>2</w:t>
      </w:r>
    </w:p>
    <w:p w14:paraId="3A9C53C3" w14:textId="43A7F1E5" w:rsidR="00CD4AEC" w:rsidRDefault="00956F1D" w:rsidP="00CD4AEC">
      <w:pPr>
        <w:spacing w:after="0" w:line="240" w:lineRule="auto"/>
        <w:rPr>
          <w:b/>
          <w:bCs/>
          <w:color w:val="FF0000"/>
        </w:rPr>
      </w:pPr>
      <w:r>
        <w:t>This policy was updated to generally include loan add</w:t>
      </w:r>
      <w:r w:rsidR="00AB616E">
        <w:t xml:space="preserve">-on products including guaranteed asset protection, </w:t>
      </w:r>
      <w:r w:rsidR="001E4EDD">
        <w:t>and debt cancellation.</w:t>
      </w:r>
      <w:r w:rsidR="0028080A">
        <w:t xml:space="preserve">  While </w:t>
      </w:r>
      <w:r w:rsidR="003113A0">
        <w:t>there haven’t been any regulatory changes, increased scrutiny and ove</w:t>
      </w:r>
      <w:r w:rsidR="009D1539">
        <w:t xml:space="preserve">rsight </w:t>
      </w:r>
      <w:r w:rsidR="00947A3F">
        <w:t xml:space="preserve">have </w:t>
      </w:r>
      <w:r w:rsidR="009D1539">
        <w:t>been happening on credit union</w:t>
      </w:r>
      <w:r w:rsidR="00947A3F">
        <w:t>’</w:t>
      </w:r>
      <w:r w:rsidR="009D1539">
        <w:t>s processes and documentation related specifically to GAP refunds.</w:t>
      </w:r>
      <w:r w:rsidR="00AA0898">
        <w:t xml:space="preserve"> </w:t>
      </w:r>
      <w:r w:rsidR="009C4C4C">
        <w:t xml:space="preserve">The policy name was changed from Loan Insurance to Loan Add On Products to better </w:t>
      </w:r>
      <w:r w:rsidR="00AD102F">
        <w:t xml:space="preserve">represent the content of the policy. </w:t>
      </w:r>
      <w:r w:rsidR="00CD4AEC" w:rsidRPr="00D017C6">
        <w:rPr>
          <w:b/>
          <w:bCs/>
          <w:color w:val="FF0000"/>
        </w:rPr>
        <w:t>Recommended</w:t>
      </w:r>
    </w:p>
    <w:p w14:paraId="149AA3C1" w14:textId="77777777" w:rsidR="00CD4AEC" w:rsidRDefault="00CD4AEC" w:rsidP="004057C0">
      <w:pPr>
        <w:spacing w:after="0" w:line="240" w:lineRule="auto"/>
        <w:rPr>
          <w:b/>
          <w:bCs/>
          <w:u w:val="single"/>
        </w:rPr>
      </w:pPr>
    </w:p>
    <w:p w14:paraId="4DE6F237" w14:textId="76F1FDBC" w:rsidR="00E3176D" w:rsidRPr="00D017C6" w:rsidRDefault="00E3176D" w:rsidP="00E3176D">
      <w:pPr>
        <w:spacing w:after="0" w:line="240" w:lineRule="auto"/>
        <w:rPr>
          <w:b/>
          <w:bCs/>
          <w:u w:val="single"/>
        </w:rPr>
      </w:pPr>
      <w:r>
        <w:rPr>
          <w:b/>
          <w:bCs/>
          <w:u w:val="single"/>
        </w:rPr>
        <w:t xml:space="preserve">7210 </w:t>
      </w:r>
      <w:r w:rsidR="00253283">
        <w:rPr>
          <w:b/>
          <w:bCs/>
          <w:u w:val="single"/>
        </w:rPr>
        <w:t>–</w:t>
      </w:r>
      <w:r>
        <w:rPr>
          <w:b/>
          <w:bCs/>
          <w:u w:val="single"/>
        </w:rPr>
        <w:t xml:space="preserve"> </w:t>
      </w:r>
      <w:r w:rsidR="00253283">
        <w:rPr>
          <w:b/>
          <w:bCs/>
          <w:u w:val="single"/>
        </w:rPr>
        <w:t>Credit Cards</w:t>
      </w:r>
    </w:p>
    <w:p w14:paraId="2FE7038B" w14:textId="79324E2A" w:rsidR="00E3176D" w:rsidRPr="00D017C6" w:rsidRDefault="00E3176D" w:rsidP="00E3176D">
      <w:pPr>
        <w:spacing w:after="0" w:line="240" w:lineRule="auto"/>
        <w:rPr>
          <w:b/>
          <w:bCs/>
          <w:u w:val="single"/>
        </w:rPr>
      </w:pPr>
      <w:r w:rsidRPr="00D017C6">
        <w:rPr>
          <w:b/>
          <w:bCs/>
          <w:u w:val="single"/>
        </w:rPr>
        <w:t>2024-</w:t>
      </w:r>
      <w:r w:rsidR="00146D2B">
        <w:rPr>
          <w:b/>
          <w:bCs/>
          <w:u w:val="single"/>
        </w:rPr>
        <w:t>2</w:t>
      </w:r>
    </w:p>
    <w:p w14:paraId="5C8E883E" w14:textId="13232A46" w:rsidR="00E3176D" w:rsidRDefault="00E3176D" w:rsidP="006C0949">
      <w:pPr>
        <w:spacing w:after="0" w:line="240" w:lineRule="auto"/>
        <w:rPr>
          <w:b/>
          <w:bCs/>
          <w:color w:val="FF0000"/>
        </w:rPr>
      </w:pPr>
      <w:r>
        <w:lastRenderedPageBreak/>
        <w:t xml:space="preserve">This policy was </w:t>
      </w:r>
      <w:r w:rsidR="00253283">
        <w:t>significantly updated to remove procedural content</w:t>
      </w:r>
      <w:r w:rsidR="002610E5">
        <w:t xml:space="preserve"> (procedural content is now found in 7210.10)</w:t>
      </w:r>
      <w:r w:rsidR="00253283">
        <w:t xml:space="preserve">.  In addition, the policy was updated to include the most recent </w:t>
      </w:r>
      <w:hyperlink r:id="rId11" w:history="1">
        <w:r w:rsidR="00253283" w:rsidRPr="00AC61DD">
          <w:rPr>
            <w:rStyle w:val="Hyperlink"/>
          </w:rPr>
          <w:t>final rule</w:t>
        </w:r>
      </w:hyperlink>
      <w:r w:rsidR="00253283">
        <w:t xml:space="preserve"> from the CFPB limiting the l</w:t>
      </w:r>
      <w:r w:rsidR="00D61A9E">
        <w:t>ate fees that card issuers are permitted to charge.</w:t>
      </w:r>
      <w:r w:rsidR="006C0949">
        <w:t xml:space="preserve"> Note: </w:t>
      </w:r>
      <w:r w:rsidR="006C0949" w:rsidRPr="006C0949">
        <w:t xml:space="preserve">The changes </w:t>
      </w:r>
      <w:r w:rsidR="006C0949">
        <w:t xml:space="preserve">to this policy were </w:t>
      </w:r>
      <w:r w:rsidR="006C0949" w:rsidRPr="006C0949">
        <w:t xml:space="preserve">so significant that </w:t>
      </w:r>
      <w:r w:rsidR="006C0949">
        <w:t>there is no redlined version provided</w:t>
      </w:r>
      <w:r w:rsidR="006C0949" w:rsidRPr="006C0949">
        <w:t xml:space="preserve">. It's </w:t>
      </w:r>
      <w:r w:rsidR="006C0949">
        <w:t xml:space="preserve">recommended </w:t>
      </w:r>
      <w:r w:rsidR="006C0949" w:rsidRPr="006C0949">
        <w:t xml:space="preserve">to </w:t>
      </w:r>
      <w:r w:rsidR="00C8048C">
        <w:t xml:space="preserve">adopt </w:t>
      </w:r>
      <w:r w:rsidR="006C0949" w:rsidRPr="006C0949">
        <w:t>the update</w:t>
      </w:r>
      <w:r w:rsidR="00654059">
        <w:t xml:space="preserve">d </w:t>
      </w:r>
      <w:r w:rsidR="00C8048C">
        <w:t xml:space="preserve">policy </w:t>
      </w:r>
      <w:r w:rsidR="00654059">
        <w:t>in its entirety</w:t>
      </w:r>
      <w:r w:rsidR="006C0949" w:rsidRPr="006C0949">
        <w:t xml:space="preserve"> and customize it for your credit union.</w:t>
      </w:r>
      <w:r w:rsidR="00AA0898">
        <w:t xml:space="preserve"> </w:t>
      </w:r>
      <w:r w:rsidRPr="00D017C6">
        <w:rPr>
          <w:b/>
          <w:bCs/>
          <w:color w:val="FF0000"/>
        </w:rPr>
        <w:t>Recommended</w:t>
      </w:r>
      <w:r w:rsidR="006F033C">
        <w:rPr>
          <w:b/>
          <w:bCs/>
          <w:color w:val="FF0000"/>
        </w:rPr>
        <w:t xml:space="preserve"> </w:t>
      </w:r>
    </w:p>
    <w:p w14:paraId="1FC46F1A" w14:textId="77777777" w:rsidR="00E3176D" w:rsidRDefault="00E3176D" w:rsidP="004057C0">
      <w:pPr>
        <w:spacing w:after="0" w:line="240" w:lineRule="auto"/>
        <w:rPr>
          <w:b/>
          <w:bCs/>
          <w:u w:val="single"/>
        </w:rPr>
      </w:pPr>
    </w:p>
    <w:p w14:paraId="25154586" w14:textId="1CF7AEBE" w:rsidR="0092529B" w:rsidRPr="00D017C6" w:rsidRDefault="0092529B" w:rsidP="0092529B">
      <w:pPr>
        <w:spacing w:after="0" w:line="240" w:lineRule="auto"/>
        <w:rPr>
          <w:b/>
          <w:bCs/>
          <w:u w:val="single"/>
        </w:rPr>
      </w:pPr>
      <w:r>
        <w:rPr>
          <w:b/>
          <w:bCs/>
          <w:u w:val="single"/>
        </w:rPr>
        <w:t>7210.10 – Credit Card</w:t>
      </w:r>
      <w:r w:rsidR="005E30F9">
        <w:rPr>
          <w:b/>
          <w:bCs/>
          <w:u w:val="single"/>
        </w:rPr>
        <w:t xml:space="preserve"> Program</w:t>
      </w:r>
      <w:r w:rsidR="00146D2B">
        <w:rPr>
          <w:b/>
          <w:bCs/>
          <w:u w:val="single"/>
        </w:rPr>
        <w:t xml:space="preserve"> </w:t>
      </w:r>
      <w:r w:rsidR="00146D2B" w:rsidRPr="0029061E">
        <w:rPr>
          <w:b/>
          <w:bCs/>
          <w:i/>
          <w:iCs/>
          <w:color w:val="FF0000"/>
          <w:u w:val="single"/>
        </w:rPr>
        <w:t xml:space="preserve">**NEW </w:t>
      </w:r>
      <w:r w:rsidR="00D47EC7">
        <w:rPr>
          <w:b/>
          <w:bCs/>
          <w:i/>
          <w:iCs/>
          <w:color w:val="FF0000"/>
          <w:u w:val="single"/>
        </w:rPr>
        <w:t>CONTENT SECTION</w:t>
      </w:r>
      <w:r w:rsidR="00146D2B" w:rsidRPr="0029061E">
        <w:rPr>
          <w:b/>
          <w:bCs/>
          <w:i/>
          <w:iCs/>
          <w:color w:val="FF0000"/>
          <w:u w:val="single"/>
        </w:rPr>
        <w:t>**</w:t>
      </w:r>
    </w:p>
    <w:p w14:paraId="3C18D9E8" w14:textId="19ED9C5E" w:rsidR="0092529B" w:rsidRPr="00D017C6" w:rsidRDefault="0092529B" w:rsidP="0092529B">
      <w:pPr>
        <w:spacing w:after="0" w:line="240" w:lineRule="auto"/>
        <w:rPr>
          <w:b/>
          <w:bCs/>
          <w:u w:val="single"/>
        </w:rPr>
      </w:pPr>
      <w:r w:rsidRPr="00D017C6">
        <w:rPr>
          <w:b/>
          <w:bCs/>
          <w:u w:val="single"/>
        </w:rPr>
        <w:t>2024-</w:t>
      </w:r>
      <w:r w:rsidR="00146D2B">
        <w:rPr>
          <w:b/>
          <w:bCs/>
          <w:u w:val="single"/>
        </w:rPr>
        <w:t>2</w:t>
      </w:r>
    </w:p>
    <w:p w14:paraId="7941B82F" w14:textId="030EA8B8" w:rsidR="0092529B" w:rsidRDefault="00223160" w:rsidP="0092529B">
      <w:pPr>
        <w:spacing w:after="0" w:line="240" w:lineRule="auto"/>
        <w:rPr>
          <w:b/>
          <w:bCs/>
          <w:color w:val="FF0000"/>
        </w:rPr>
      </w:pPr>
      <w:r>
        <w:t xml:space="preserve">This </w:t>
      </w:r>
      <w:r w:rsidR="00E245BE">
        <w:t xml:space="preserve">procedure document </w:t>
      </w:r>
      <w:r w:rsidR="001B0CB0">
        <w:t xml:space="preserve">was created </w:t>
      </w:r>
      <w:r w:rsidR="00E245BE">
        <w:t xml:space="preserve">based on </w:t>
      </w:r>
      <w:r w:rsidR="00E170FC">
        <w:t xml:space="preserve">detailed </w:t>
      </w:r>
      <w:r w:rsidR="00E245BE">
        <w:t>p</w:t>
      </w:r>
      <w:r>
        <w:t>rocedural information previously found in Policy 7210</w:t>
      </w:r>
      <w:r w:rsidR="00E170FC">
        <w:t>.</w:t>
      </w:r>
      <w:r>
        <w:t xml:space="preserve"> </w:t>
      </w:r>
      <w:r w:rsidR="00100BA1">
        <w:t>Content in this procedure was also updated to comply with the final rule from the CFPB regarding late fees</w:t>
      </w:r>
      <w:r w:rsidR="00F65E19">
        <w:t xml:space="preserve"> and safe harbor limits</w:t>
      </w:r>
      <w:r w:rsidR="00100BA1">
        <w:t>, otherwise no other regulatory drive changes were made.</w:t>
      </w:r>
      <w:r w:rsidR="00AA0898">
        <w:t xml:space="preserve"> </w:t>
      </w:r>
      <w:r w:rsidR="0092529B" w:rsidRPr="00D017C6">
        <w:rPr>
          <w:b/>
          <w:bCs/>
          <w:color w:val="FF0000"/>
        </w:rPr>
        <w:t>Recommended</w:t>
      </w:r>
    </w:p>
    <w:p w14:paraId="4571429C" w14:textId="77777777" w:rsidR="0092529B" w:rsidRDefault="0092529B" w:rsidP="004057C0">
      <w:pPr>
        <w:spacing w:after="0" w:line="240" w:lineRule="auto"/>
        <w:rPr>
          <w:b/>
          <w:bCs/>
          <w:u w:val="single"/>
        </w:rPr>
      </w:pPr>
    </w:p>
    <w:p w14:paraId="1C5DC7DD" w14:textId="7D510DCE" w:rsidR="00CD4AEC" w:rsidRDefault="002275E7" w:rsidP="004057C0">
      <w:pPr>
        <w:spacing w:after="0" w:line="240" w:lineRule="auto"/>
        <w:rPr>
          <w:b/>
          <w:bCs/>
          <w:u w:val="single"/>
        </w:rPr>
      </w:pPr>
      <w:r>
        <w:rPr>
          <w:b/>
          <w:bCs/>
          <w:u w:val="single"/>
        </w:rPr>
        <w:t>7215 – Overdraft Protection</w:t>
      </w:r>
    </w:p>
    <w:p w14:paraId="6A5D5480" w14:textId="4B948668" w:rsidR="002275E7" w:rsidRDefault="002275E7" w:rsidP="004057C0">
      <w:pPr>
        <w:spacing w:after="0" w:line="240" w:lineRule="auto"/>
        <w:rPr>
          <w:b/>
          <w:bCs/>
          <w:u w:val="single"/>
        </w:rPr>
      </w:pPr>
      <w:r>
        <w:rPr>
          <w:b/>
          <w:bCs/>
          <w:u w:val="single"/>
        </w:rPr>
        <w:t>2024-</w:t>
      </w:r>
      <w:r w:rsidR="00146D2B">
        <w:rPr>
          <w:b/>
          <w:bCs/>
          <w:u w:val="single"/>
        </w:rPr>
        <w:t>2</w:t>
      </w:r>
    </w:p>
    <w:p w14:paraId="237888C3" w14:textId="1BF52FD5" w:rsidR="004929E1" w:rsidRPr="004929E1" w:rsidRDefault="002275E7" w:rsidP="004057C0">
      <w:pPr>
        <w:spacing w:after="0" w:line="240" w:lineRule="auto"/>
        <w:rPr>
          <w:b/>
          <w:bCs/>
          <w:color w:val="FF0000"/>
        </w:rPr>
      </w:pPr>
      <w:r>
        <w:t>This policy was reviewed to strengthen the content.</w:t>
      </w:r>
      <w:r w:rsidR="004929E1">
        <w:t xml:space="preserve"> </w:t>
      </w:r>
      <w:r w:rsidR="005F3F59">
        <w:t xml:space="preserve">Two additional best practices were added related to </w:t>
      </w:r>
      <w:r w:rsidR="00945A8B">
        <w:t>authorized positive, settle negative fees and representment fees.  The Credit Union should make sure to amend these sections to document their processes in these two specific areas under regulatory scrutiny.</w:t>
      </w:r>
      <w:r w:rsidR="00AA0898">
        <w:t xml:space="preserve"> </w:t>
      </w:r>
      <w:r w:rsidR="004929E1" w:rsidRPr="004929E1">
        <w:rPr>
          <w:b/>
          <w:bCs/>
          <w:color w:val="FF0000"/>
        </w:rPr>
        <w:t>Recommended</w:t>
      </w:r>
    </w:p>
    <w:p w14:paraId="4096F987" w14:textId="77777777" w:rsidR="002275E7" w:rsidRDefault="002275E7" w:rsidP="004057C0">
      <w:pPr>
        <w:spacing w:after="0" w:line="240" w:lineRule="auto"/>
        <w:rPr>
          <w:b/>
          <w:bCs/>
          <w:u w:val="single"/>
        </w:rPr>
      </w:pPr>
    </w:p>
    <w:p w14:paraId="50788C92" w14:textId="4884DB8C" w:rsidR="002275E7" w:rsidRDefault="00996DF4" w:rsidP="004057C0">
      <w:pPr>
        <w:spacing w:after="0" w:line="240" w:lineRule="auto"/>
        <w:rPr>
          <w:b/>
          <w:bCs/>
          <w:u w:val="single"/>
        </w:rPr>
      </w:pPr>
      <w:r>
        <w:rPr>
          <w:b/>
          <w:bCs/>
          <w:u w:val="single"/>
        </w:rPr>
        <w:t>7330 – Residential Real Estate Loans</w:t>
      </w:r>
    </w:p>
    <w:p w14:paraId="663383D8" w14:textId="2838AF02" w:rsidR="00996DF4" w:rsidRDefault="00996DF4" w:rsidP="004057C0">
      <w:pPr>
        <w:spacing w:after="0" w:line="240" w:lineRule="auto"/>
        <w:rPr>
          <w:b/>
          <w:bCs/>
          <w:u w:val="single"/>
        </w:rPr>
      </w:pPr>
      <w:r>
        <w:rPr>
          <w:b/>
          <w:bCs/>
          <w:u w:val="single"/>
        </w:rPr>
        <w:t>2024-</w:t>
      </w:r>
      <w:r w:rsidR="00146D2B">
        <w:rPr>
          <w:b/>
          <w:bCs/>
          <w:u w:val="single"/>
        </w:rPr>
        <w:t>2</w:t>
      </w:r>
    </w:p>
    <w:p w14:paraId="328CFE33" w14:textId="0F8D086C" w:rsidR="00996DF4" w:rsidRPr="004929E1" w:rsidRDefault="00996DF4" w:rsidP="00996DF4">
      <w:pPr>
        <w:spacing w:after="0" w:line="240" w:lineRule="auto"/>
        <w:rPr>
          <w:b/>
          <w:bCs/>
          <w:color w:val="FF0000"/>
        </w:rPr>
      </w:pPr>
      <w:r>
        <w:t>This policy was updated to reference</w:t>
      </w:r>
      <w:r w:rsidR="00062977">
        <w:t xml:space="preserve"> the reconsideration of value process, to update the threshold for </w:t>
      </w:r>
      <w:r w:rsidR="004C3E4D">
        <w:t xml:space="preserve">exemption to the Escrow requirements for </w:t>
      </w:r>
      <w:r w:rsidR="00240DA0">
        <w:t>credit unions under a certain asset size (tied to consumer price index), and general updates</w:t>
      </w:r>
      <w:r w:rsidR="00E43310">
        <w:t xml:space="preserve"> </w:t>
      </w:r>
      <w:r w:rsidR="00CB1549">
        <w:t xml:space="preserve">were also made </w:t>
      </w:r>
      <w:r w:rsidR="00E43310">
        <w:t>for readability.</w:t>
      </w:r>
      <w:r w:rsidR="00AA0898">
        <w:t xml:space="preserve"> </w:t>
      </w:r>
      <w:r w:rsidRPr="004929E1">
        <w:rPr>
          <w:b/>
          <w:bCs/>
          <w:color w:val="FF0000"/>
        </w:rPr>
        <w:t>Recommended</w:t>
      </w:r>
    </w:p>
    <w:p w14:paraId="1825F921" w14:textId="77777777" w:rsidR="00996DF4" w:rsidRDefault="00996DF4" w:rsidP="004057C0">
      <w:pPr>
        <w:spacing w:after="0" w:line="240" w:lineRule="auto"/>
        <w:rPr>
          <w:b/>
          <w:bCs/>
          <w:u w:val="single"/>
        </w:rPr>
      </w:pPr>
    </w:p>
    <w:p w14:paraId="7DA24104" w14:textId="4E0651D8" w:rsidR="00F70907" w:rsidRDefault="00B45722" w:rsidP="00F70907">
      <w:pPr>
        <w:spacing w:after="0" w:line="240" w:lineRule="auto"/>
        <w:rPr>
          <w:b/>
          <w:bCs/>
          <w:u w:val="single"/>
        </w:rPr>
      </w:pPr>
      <w:r>
        <w:rPr>
          <w:b/>
          <w:bCs/>
          <w:u w:val="single"/>
        </w:rPr>
        <w:t>7625 – Residential Real Estate Loss Mitigation Strategies</w:t>
      </w:r>
    </w:p>
    <w:p w14:paraId="54A53A8D" w14:textId="219EB526" w:rsidR="00F70907" w:rsidRDefault="00F70907" w:rsidP="00F70907">
      <w:pPr>
        <w:spacing w:after="0" w:line="240" w:lineRule="auto"/>
        <w:rPr>
          <w:b/>
          <w:bCs/>
          <w:u w:val="single"/>
        </w:rPr>
      </w:pPr>
      <w:r>
        <w:rPr>
          <w:b/>
          <w:bCs/>
          <w:u w:val="single"/>
        </w:rPr>
        <w:t>2024-</w:t>
      </w:r>
      <w:r w:rsidR="00146D2B">
        <w:rPr>
          <w:b/>
          <w:bCs/>
          <w:u w:val="single"/>
        </w:rPr>
        <w:t>2</w:t>
      </w:r>
    </w:p>
    <w:p w14:paraId="3A8EE0F7" w14:textId="2C2F3D82" w:rsidR="00F70907" w:rsidRPr="004929E1" w:rsidRDefault="00F70907" w:rsidP="00F70907">
      <w:pPr>
        <w:spacing w:after="0" w:line="240" w:lineRule="auto"/>
        <w:rPr>
          <w:b/>
          <w:bCs/>
          <w:color w:val="FF0000"/>
        </w:rPr>
      </w:pPr>
      <w:r>
        <w:t xml:space="preserve">This policy was updated to </w:t>
      </w:r>
      <w:r w:rsidR="00B45722">
        <w:t>include</w:t>
      </w:r>
      <w:r w:rsidR="00F84605">
        <w:t xml:space="preserve"> information on loan modification denials and the requirements to comply with adverse action procedures.</w:t>
      </w:r>
      <w:r w:rsidR="00AA0898">
        <w:t xml:space="preserve"> </w:t>
      </w:r>
      <w:r w:rsidRPr="004929E1">
        <w:rPr>
          <w:b/>
          <w:bCs/>
          <w:color w:val="FF0000"/>
        </w:rPr>
        <w:t>Recommended</w:t>
      </w:r>
    </w:p>
    <w:p w14:paraId="5806923C" w14:textId="77777777" w:rsidR="00996DF4" w:rsidRDefault="00996DF4" w:rsidP="004057C0">
      <w:pPr>
        <w:spacing w:after="0" w:line="240" w:lineRule="auto"/>
        <w:rPr>
          <w:b/>
          <w:bCs/>
          <w:u w:val="single"/>
        </w:rPr>
      </w:pPr>
    </w:p>
    <w:p w14:paraId="3C6C070E" w14:textId="7AEF7C18" w:rsidR="004057C0" w:rsidRPr="00D017C6" w:rsidRDefault="004057C0" w:rsidP="004057C0">
      <w:pPr>
        <w:spacing w:after="0" w:line="240" w:lineRule="auto"/>
        <w:rPr>
          <w:b/>
          <w:bCs/>
          <w:u w:val="single"/>
        </w:rPr>
      </w:pPr>
      <w:r>
        <w:rPr>
          <w:b/>
          <w:bCs/>
          <w:u w:val="single"/>
        </w:rPr>
        <w:t>9150 – Unfair, Deceptive, or Abusive Acts or Practices</w:t>
      </w:r>
    </w:p>
    <w:p w14:paraId="1757667A" w14:textId="609828FA" w:rsidR="004057C0" w:rsidRPr="00D017C6" w:rsidRDefault="004057C0" w:rsidP="004057C0">
      <w:pPr>
        <w:spacing w:after="0" w:line="240" w:lineRule="auto"/>
        <w:rPr>
          <w:b/>
          <w:bCs/>
          <w:u w:val="single"/>
        </w:rPr>
      </w:pPr>
      <w:r w:rsidRPr="00D017C6">
        <w:rPr>
          <w:b/>
          <w:bCs/>
          <w:u w:val="single"/>
        </w:rPr>
        <w:t>2024-</w:t>
      </w:r>
      <w:r w:rsidR="00146D2B">
        <w:rPr>
          <w:b/>
          <w:bCs/>
          <w:u w:val="single"/>
        </w:rPr>
        <w:t>2</w:t>
      </w:r>
    </w:p>
    <w:p w14:paraId="3BC6B6DD" w14:textId="646B3A9D" w:rsidR="003A2925" w:rsidRDefault="005B5F33" w:rsidP="0088059E">
      <w:pPr>
        <w:spacing w:after="0" w:line="240" w:lineRule="auto"/>
        <w:rPr>
          <w:b/>
          <w:bCs/>
          <w:color w:val="FF0000"/>
        </w:rPr>
      </w:pPr>
      <w:r>
        <w:t>T</w:t>
      </w:r>
      <w:r w:rsidR="00E82CB0">
        <w:t xml:space="preserve">he UDAAP policy has been updated to include </w:t>
      </w:r>
      <w:r w:rsidR="00AA69F6">
        <w:t>anti-discrimination language for those credit unions</w:t>
      </w:r>
      <w:r w:rsidR="00865B3B">
        <w:t xml:space="preserve"> wishing to </w:t>
      </w:r>
      <w:r>
        <w:t xml:space="preserve">adopt that language.  </w:t>
      </w:r>
      <w:r w:rsidR="002569DA">
        <w:t>These amendments are not required by regulation, and the CFPB’s revisions to their examination man</w:t>
      </w:r>
      <w:r w:rsidR="00132957">
        <w:t>ual in this regard</w:t>
      </w:r>
      <w:r w:rsidR="00372E8C">
        <w:t xml:space="preserve"> were redacted</w:t>
      </w:r>
      <w:r w:rsidR="00F4373E">
        <w:t xml:space="preserve">.  However, credit unions have requested model content </w:t>
      </w:r>
      <w:r w:rsidR="00EA4DB6">
        <w:t xml:space="preserve">to take a proactive approach and </w:t>
      </w:r>
      <w:r w:rsidR="004F479F">
        <w:t>ensure</w:t>
      </w:r>
      <w:r w:rsidR="00EA4DB6">
        <w:t xml:space="preserve"> anti-discrimination language is captured in a board approved policy.</w:t>
      </w:r>
      <w:r w:rsidR="00AA0898">
        <w:t xml:space="preserve"> </w:t>
      </w:r>
      <w:r w:rsidR="00FD0A77">
        <w:rPr>
          <w:b/>
          <w:bCs/>
          <w:color w:val="FF0000"/>
        </w:rPr>
        <w:t>Optional</w:t>
      </w:r>
    </w:p>
    <w:p w14:paraId="5380E879" w14:textId="77777777" w:rsidR="00830FB5" w:rsidRDefault="00830FB5" w:rsidP="0088059E">
      <w:pPr>
        <w:spacing w:after="0" w:line="240" w:lineRule="auto"/>
        <w:rPr>
          <w:b/>
          <w:bCs/>
          <w:color w:val="FF0000"/>
        </w:rPr>
      </w:pPr>
    </w:p>
    <w:p w14:paraId="28006E52" w14:textId="03D2FCCC" w:rsidR="008F7503" w:rsidRPr="007F2943" w:rsidRDefault="008F7503" w:rsidP="0088059E">
      <w:pPr>
        <w:spacing w:after="0" w:line="240" w:lineRule="auto"/>
        <w:rPr>
          <w:b/>
          <w:bCs/>
          <w:u w:val="single"/>
        </w:rPr>
      </w:pPr>
      <w:r w:rsidRPr="007F2943">
        <w:rPr>
          <w:b/>
          <w:bCs/>
          <w:u w:val="single"/>
        </w:rPr>
        <w:t xml:space="preserve">9600 </w:t>
      </w:r>
      <w:r w:rsidR="007F2943" w:rsidRPr="007F2943">
        <w:rPr>
          <w:b/>
          <w:bCs/>
          <w:u w:val="single"/>
        </w:rPr>
        <w:t>–</w:t>
      </w:r>
      <w:r w:rsidRPr="007F2943">
        <w:rPr>
          <w:b/>
          <w:bCs/>
          <w:u w:val="single"/>
        </w:rPr>
        <w:t xml:space="preserve"> </w:t>
      </w:r>
      <w:r w:rsidR="007F2943" w:rsidRPr="007F2943">
        <w:rPr>
          <w:b/>
          <w:bCs/>
          <w:u w:val="single"/>
        </w:rPr>
        <w:t>TCPA, JFPA and CAN-SPAM</w:t>
      </w:r>
    </w:p>
    <w:p w14:paraId="2C35370A" w14:textId="7B2CA777" w:rsidR="007F2943" w:rsidRDefault="007F2943" w:rsidP="0088059E">
      <w:pPr>
        <w:spacing w:after="0" w:line="240" w:lineRule="auto"/>
        <w:rPr>
          <w:b/>
          <w:bCs/>
          <w:u w:val="single"/>
        </w:rPr>
      </w:pPr>
      <w:r w:rsidRPr="007F2943">
        <w:rPr>
          <w:b/>
          <w:bCs/>
          <w:u w:val="single"/>
        </w:rPr>
        <w:t>2024-</w:t>
      </w:r>
      <w:r w:rsidR="00146D2B">
        <w:rPr>
          <w:b/>
          <w:bCs/>
          <w:u w:val="single"/>
        </w:rPr>
        <w:t>2</w:t>
      </w:r>
    </w:p>
    <w:p w14:paraId="5473C6CF" w14:textId="2FF88021" w:rsidR="0016548C" w:rsidRPr="0016548C" w:rsidRDefault="007F2943" w:rsidP="0088059E">
      <w:pPr>
        <w:spacing w:after="0" w:line="240" w:lineRule="auto"/>
        <w:rPr>
          <w:b/>
          <w:bCs/>
          <w:color w:val="FF0000"/>
        </w:rPr>
      </w:pPr>
      <w:r>
        <w:t>Additional changes to the Telephone Consumer Protection Act (TCPA) required updates</w:t>
      </w:r>
      <w:r w:rsidR="00F97734">
        <w:t xml:space="preserve"> to the policy and corresponding procedure.  These </w:t>
      </w:r>
      <w:r w:rsidR="00792D81">
        <w:t xml:space="preserve">changes are a result of the </w:t>
      </w:r>
      <w:hyperlink r:id="rId12" w:history="1">
        <w:r w:rsidR="00792D81" w:rsidRPr="002B2BCD">
          <w:rPr>
            <w:rStyle w:val="Hyperlink"/>
          </w:rPr>
          <w:t>Final Rule – Strengthen the Ability of Consumers to Stop Robocalls</w:t>
        </w:r>
      </w:hyperlink>
      <w:r w:rsidR="00792D81">
        <w:t xml:space="preserve"> and </w:t>
      </w:r>
      <w:r w:rsidR="002B2BCD">
        <w:t xml:space="preserve">the new rules adopted by the </w:t>
      </w:r>
      <w:hyperlink r:id="rId13" w:history="1">
        <w:r w:rsidR="002B2BCD" w:rsidRPr="0016548C">
          <w:rPr>
            <w:rStyle w:val="Hyperlink"/>
          </w:rPr>
          <w:t xml:space="preserve">Federal Communications Commission </w:t>
        </w:r>
        <w:r w:rsidR="009A7D8A" w:rsidRPr="0016548C">
          <w:rPr>
            <w:rStyle w:val="Hyperlink"/>
          </w:rPr>
          <w:t>that become effective on January 27, 2025</w:t>
        </w:r>
        <w:r w:rsidRPr="0016548C">
          <w:rPr>
            <w:rStyle w:val="Hyperlink"/>
          </w:rPr>
          <w:t>.</w:t>
        </w:r>
      </w:hyperlink>
      <w:r w:rsidR="00AA0898">
        <w:t xml:space="preserve"> </w:t>
      </w:r>
      <w:r w:rsidR="0016548C" w:rsidRPr="0016548C">
        <w:rPr>
          <w:b/>
          <w:bCs/>
          <w:color w:val="FF0000"/>
        </w:rPr>
        <w:t>Recommended</w:t>
      </w:r>
    </w:p>
    <w:p w14:paraId="0126B38C" w14:textId="77777777" w:rsidR="0016548C" w:rsidRDefault="0016548C" w:rsidP="0088059E">
      <w:pPr>
        <w:spacing w:after="0" w:line="240" w:lineRule="auto"/>
      </w:pPr>
    </w:p>
    <w:p w14:paraId="2E8E60C9" w14:textId="492EC854" w:rsidR="0016548C" w:rsidRPr="008E4CED" w:rsidRDefault="0016548C" w:rsidP="0088059E">
      <w:pPr>
        <w:spacing w:after="0" w:line="240" w:lineRule="auto"/>
        <w:rPr>
          <w:b/>
          <w:bCs/>
          <w:u w:val="single"/>
        </w:rPr>
      </w:pPr>
      <w:r w:rsidRPr="008E4CED">
        <w:rPr>
          <w:b/>
          <w:bCs/>
          <w:u w:val="single"/>
        </w:rPr>
        <w:t>9600.10</w:t>
      </w:r>
      <w:r w:rsidR="008E4CED" w:rsidRPr="008E4CED">
        <w:rPr>
          <w:b/>
          <w:bCs/>
          <w:u w:val="single"/>
        </w:rPr>
        <w:t xml:space="preserve"> – TCPA Procedures</w:t>
      </w:r>
    </w:p>
    <w:p w14:paraId="6FAEDFFF" w14:textId="7B21824D" w:rsidR="008E4CED" w:rsidRPr="008E4CED" w:rsidRDefault="008E4CED" w:rsidP="0088059E">
      <w:pPr>
        <w:spacing w:after="0" w:line="240" w:lineRule="auto"/>
        <w:rPr>
          <w:b/>
          <w:bCs/>
          <w:u w:val="single"/>
        </w:rPr>
      </w:pPr>
      <w:r w:rsidRPr="008E4CED">
        <w:rPr>
          <w:b/>
          <w:bCs/>
          <w:u w:val="single"/>
        </w:rPr>
        <w:t>2024-</w:t>
      </w:r>
      <w:r w:rsidR="009E1DBC">
        <w:rPr>
          <w:b/>
          <w:bCs/>
          <w:u w:val="single"/>
        </w:rPr>
        <w:t>2</w:t>
      </w:r>
    </w:p>
    <w:p w14:paraId="311613DA" w14:textId="5F3E4712" w:rsidR="008E4CED" w:rsidRPr="008E4CED" w:rsidRDefault="008E4CED" w:rsidP="0088059E">
      <w:pPr>
        <w:spacing w:after="0" w:line="240" w:lineRule="auto"/>
        <w:rPr>
          <w:b/>
          <w:bCs/>
          <w:color w:val="FF0000"/>
        </w:rPr>
      </w:pPr>
      <w:r>
        <w:lastRenderedPageBreak/>
        <w:t>As noted above regarding the policy changes for 9600, corresponding changes were made and outlined within the procedures.</w:t>
      </w:r>
      <w:r w:rsidR="00AA0898">
        <w:t xml:space="preserve"> </w:t>
      </w:r>
      <w:r w:rsidRPr="008E4CED">
        <w:rPr>
          <w:b/>
          <w:bCs/>
          <w:color w:val="FF0000"/>
        </w:rPr>
        <w:t>Recommended</w:t>
      </w:r>
    </w:p>
    <w:p w14:paraId="74C6A38D" w14:textId="77777777" w:rsidR="008F7503" w:rsidRDefault="008F7503" w:rsidP="0088059E">
      <w:pPr>
        <w:spacing w:after="0" w:line="240" w:lineRule="auto"/>
        <w:rPr>
          <w:b/>
          <w:bCs/>
          <w:color w:val="FF0000"/>
        </w:rPr>
      </w:pPr>
    </w:p>
    <w:p w14:paraId="068ECAEA" w14:textId="2E2E9D34" w:rsidR="00F13AD2" w:rsidRDefault="00F13AD2" w:rsidP="0088059E">
      <w:pPr>
        <w:spacing w:after="0" w:line="240" w:lineRule="auto"/>
        <w:rPr>
          <w:b/>
          <w:bCs/>
          <w:u w:val="single"/>
        </w:rPr>
      </w:pPr>
      <w:r>
        <w:rPr>
          <w:b/>
          <w:bCs/>
          <w:u w:val="single"/>
        </w:rPr>
        <w:t>10007 – Record</w:t>
      </w:r>
      <w:r w:rsidR="00EF7423">
        <w:rPr>
          <w:b/>
          <w:bCs/>
          <w:u w:val="single"/>
        </w:rPr>
        <w:t>s</w:t>
      </w:r>
      <w:r>
        <w:rPr>
          <w:b/>
          <w:bCs/>
          <w:u w:val="single"/>
        </w:rPr>
        <w:t xml:space="preserve"> Retention Table 7: Lending Records</w:t>
      </w:r>
    </w:p>
    <w:p w14:paraId="11BA30C9" w14:textId="4F90D0C3" w:rsidR="00F13AD2" w:rsidRDefault="00F13AD2" w:rsidP="0088059E">
      <w:pPr>
        <w:spacing w:after="0" w:line="240" w:lineRule="auto"/>
        <w:rPr>
          <w:b/>
          <w:bCs/>
          <w:u w:val="single"/>
        </w:rPr>
      </w:pPr>
      <w:r>
        <w:rPr>
          <w:b/>
          <w:bCs/>
          <w:u w:val="single"/>
        </w:rPr>
        <w:t>2024-</w:t>
      </w:r>
      <w:r w:rsidR="009C6A94">
        <w:rPr>
          <w:b/>
          <w:bCs/>
          <w:u w:val="single"/>
        </w:rPr>
        <w:t>2</w:t>
      </w:r>
    </w:p>
    <w:p w14:paraId="2C652A04" w14:textId="0DBA0188" w:rsidR="00164F0A" w:rsidRPr="00164F0A" w:rsidRDefault="00F13AD2" w:rsidP="0088059E">
      <w:pPr>
        <w:spacing w:after="0" w:line="240" w:lineRule="auto"/>
        <w:rPr>
          <w:b/>
          <w:bCs/>
          <w:color w:val="FF0000"/>
        </w:rPr>
      </w:pPr>
      <w:r>
        <w:t xml:space="preserve">This record retention table was updated to revise the requirements to retain escrow account </w:t>
      </w:r>
      <w:r w:rsidR="002A6483">
        <w:t>documents to one year after the mortgage loan is discharged or servicing is transferred.</w:t>
      </w:r>
      <w:r w:rsidR="00AA0898">
        <w:t xml:space="preserve"> </w:t>
      </w:r>
      <w:r w:rsidR="00164F0A" w:rsidRPr="00164F0A">
        <w:rPr>
          <w:b/>
          <w:bCs/>
          <w:color w:val="FF0000"/>
        </w:rPr>
        <w:t>Recommended</w:t>
      </w:r>
    </w:p>
    <w:p w14:paraId="573A3422" w14:textId="77777777" w:rsidR="00EA2AF3" w:rsidRDefault="00EA2AF3" w:rsidP="0088059E">
      <w:pPr>
        <w:spacing w:after="0" w:line="240" w:lineRule="auto"/>
      </w:pPr>
    </w:p>
    <w:p w14:paraId="5FF7354B" w14:textId="1A08EA36" w:rsidR="00EA2AF3" w:rsidRPr="00E52A13" w:rsidRDefault="00EA2AF3" w:rsidP="0088059E">
      <w:pPr>
        <w:spacing w:after="0" w:line="240" w:lineRule="auto"/>
        <w:rPr>
          <w:b/>
          <w:bCs/>
          <w:u w:val="single"/>
        </w:rPr>
      </w:pPr>
      <w:r w:rsidRPr="00E52A13">
        <w:rPr>
          <w:b/>
          <w:bCs/>
          <w:u w:val="single"/>
        </w:rPr>
        <w:t>11003- Accuracy and Integrity of Information Reported</w:t>
      </w:r>
    </w:p>
    <w:p w14:paraId="2368048E" w14:textId="4C1F2AB5" w:rsidR="00EA2AF3" w:rsidRPr="00E52A13" w:rsidRDefault="00EA2AF3" w:rsidP="0088059E">
      <w:pPr>
        <w:spacing w:after="0" w:line="240" w:lineRule="auto"/>
        <w:rPr>
          <w:b/>
          <w:bCs/>
          <w:u w:val="single"/>
        </w:rPr>
      </w:pPr>
      <w:r w:rsidRPr="00E52A13">
        <w:rPr>
          <w:b/>
          <w:bCs/>
          <w:u w:val="single"/>
        </w:rPr>
        <w:t>2024-</w:t>
      </w:r>
      <w:r w:rsidR="009C6A94">
        <w:rPr>
          <w:b/>
          <w:bCs/>
          <w:u w:val="single"/>
        </w:rPr>
        <w:t>2</w:t>
      </w:r>
    </w:p>
    <w:p w14:paraId="74EF8943" w14:textId="76747BD8" w:rsidR="00EA2AF3" w:rsidRPr="00B03E52" w:rsidRDefault="00EA2AF3" w:rsidP="0088059E">
      <w:pPr>
        <w:spacing w:after="0" w:line="240" w:lineRule="auto"/>
      </w:pPr>
      <w:r>
        <w:t xml:space="preserve">This policy was updated to include the content from Policy 11002 </w:t>
      </w:r>
      <w:r w:rsidR="00846769">
        <w:t>to avoid duplication and strengthen the existing content.</w:t>
      </w:r>
      <w:r w:rsidR="001273BD">
        <w:t xml:space="preserve"> </w:t>
      </w:r>
      <w:r w:rsidR="00E52A13">
        <w:t xml:space="preserve"> </w:t>
      </w:r>
      <w:r w:rsidR="00E52A13" w:rsidRPr="00164F0A">
        <w:rPr>
          <w:b/>
          <w:bCs/>
          <w:color w:val="FF0000"/>
        </w:rPr>
        <w:t>Recommended</w:t>
      </w:r>
    </w:p>
    <w:p w14:paraId="27F9FB4E" w14:textId="77777777" w:rsidR="00B03E52" w:rsidRDefault="00B03E52" w:rsidP="0088059E">
      <w:pPr>
        <w:spacing w:after="0" w:line="240" w:lineRule="auto"/>
        <w:rPr>
          <w:b/>
          <w:bCs/>
          <w:u w:val="single"/>
        </w:rPr>
      </w:pPr>
    </w:p>
    <w:p w14:paraId="6399CA5B" w14:textId="454C9C0B" w:rsidR="00830FB5" w:rsidRPr="00830FB5" w:rsidRDefault="00830FB5" w:rsidP="0088059E">
      <w:pPr>
        <w:spacing w:after="0" w:line="240" w:lineRule="auto"/>
        <w:rPr>
          <w:b/>
          <w:bCs/>
          <w:u w:val="single"/>
        </w:rPr>
      </w:pPr>
      <w:r w:rsidRPr="00830FB5">
        <w:rPr>
          <w:b/>
          <w:bCs/>
          <w:u w:val="single"/>
        </w:rPr>
        <w:t>11005 – Adverse Action Requirements</w:t>
      </w:r>
    </w:p>
    <w:p w14:paraId="2950199F" w14:textId="62B6446F" w:rsidR="00830FB5" w:rsidRDefault="00830FB5" w:rsidP="0088059E">
      <w:pPr>
        <w:spacing w:after="0" w:line="240" w:lineRule="auto"/>
        <w:rPr>
          <w:b/>
          <w:bCs/>
          <w:u w:val="single"/>
        </w:rPr>
      </w:pPr>
      <w:r w:rsidRPr="00D017C6">
        <w:rPr>
          <w:b/>
          <w:bCs/>
          <w:u w:val="single"/>
        </w:rPr>
        <w:t>2024-</w:t>
      </w:r>
      <w:r w:rsidR="009C6A94">
        <w:rPr>
          <w:b/>
          <w:bCs/>
          <w:u w:val="single"/>
        </w:rPr>
        <w:t>2</w:t>
      </w:r>
    </w:p>
    <w:p w14:paraId="1B560844" w14:textId="0B91CD4A" w:rsidR="00830FB5" w:rsidRDefault="00830FB5" w:rsidP="0088059E">
      <w:pPr>
        <w:spacing w:after="0" w:line="240" w:lineRule="auto"/>
        <w:rPr>
          <w:b/>
          <w:bCs/>
          <w:color w:val="FF0000"/>
        </w:rPr>
      </w:pPr>
      <w:r>
        <w:t xml:space="preserve">This policy was revised to be more comprehensive in addressing </w:t>
      </w:r>
      <w:r w:rsidR="00345E74">
        <w:t xml:space="preserve">the requirements for adverse action notices and </w:t>
      </w:r>
      <w:r w:rsidR="00A7303B">
        <w:t xml:space="preserve">recent </w:t>
      </w:r>
      <w:hyperlink r:id="rId14" w:history="1">
        <w:r w:rsidR="00A7303B" w:rsidRPr="000B2E4F">
          <w:rPr>
            <w:rStyle w:val="Hyperlink"/>
          </w:rPr>
          <w:t>CFPB scrutiny</w:t>
        </w:r>
      </w:hyperlink>
      <w:r w:rsidR="00A7303B">
        <w:t xml:space="preserve"> regarding</w:t>
      </w:r>
      <w:r w:rsidR="000B2E4F">
        <w:t xml:space="preserve"> the use of the reasons within the adverse action notices when using more complex underwriting systems</w:t>
      </w:r>
      <w:r>
        <w:t>.</w:t>
      </w:r>
      <w:r w:rsidR="002E72C6">
        <w:t xml:space="preserve"> </w:t>
      </w:r>
      <w:r w:rsidRPr="00F13AD2">
        <w:rPr>
          <w:b/>
          <w:bCs/>
          <w:color w:val="FF0000"/>
        </w:rPr>
        <w:t>Recommended</w:t>
      </w:r>
    </w:p>
    <w:p w14:paraId="2E6BA9B1" w14:textId="77777777" w:rsidR="00727C92" w:rsidRDefault="00727C92" w:rsidP="0088059E">
      <w:pPr>
        <w:spacing w:after="0" w:line="240" w:lineRule="auto"/>
        <w:rPr>
          <w:b/>
          <w:bCs/>
          <w:color w:val="FF0000"/>
        </w:rPr>
      </w:pPr>
    </w:p>
    <w:p w14:paraId="36986232" w14:textId="5195E266" w:rsidR="00727C92" w:rsidRDefault="00727C92" w:rsidP="0088059E">
      <w:pPr>
        <w:spacing w:after="0" w:line="240" w:lineRule="auto"/>
        <w:rPr>
          <w:b/>
          <w:bCs/>
          <w:color w:val="FF0000"/>
        </w:rPr>
      </w:pPr>
      <w:r>
        <w:rPr>
          <w:b/>
          <w:bCs/>
          <w:color w:val="FF0000"/>
        </w:rPr>
        <w:t>Policy Retired (removed from CU PolicyPro)</w:t>
      </w:r>
    </w:p>
    <w:p w14:paraId="488B6525" w14:textId="77777777" w:rsidR="00727C92" w:rsidRDefault="00727C92" w:rsidP="00727C92">
      <w:pPr>
        <w:spacing w:after="0" w:line="240" w:lineRule="auto"/>
        <w:rPr>
          <w:b/>
          <w:bCs/>
          <w:u w:val="single"/>
        </w:rPr>
      </w:pPr>
      <w:r>
        <w:rPr>
          <w:b/>
          <w:bCs/>
          <w:u w:val="single"/>
        </w:rPr>
        <w:t xml:space="preserve">11002 – Furnishing Information to Credit Reporting Agencies </w:t>
      </w:r>
      <w:r w:rsidRPr="001273BD">
        <w:rPr>
          <w:b/>
          <w:bCs/>
          <w:i/>
          <w:iCs/>
          <w:color w:val="FF0000"/>
          <w:u w:val="single"/>
        </w:rPr>
        <w:t>**Policy Retired**</w:t>
      </w:r>
    </w:p>
    <w:p w14:paraId="26B42006" w14:textId="77777777" w:rsidR="00727C92" w:rsidRDefault="00727C92" w:rsidP="00727C92">
      <w:pPr>
        <w:spacing w:after="0" w:line="240" w:lineRule="auto"/>
        <w:rPr>
          <w:b/>
          <w:bCs/>
          <w:u w:val="single"/>
        </w:rPr>
      </w:pPr>
      <w:r>
        <w:rPr>
          <w:b/>
          <w:bCs/>
          <w:u w:val="single"/>
        </w:rPr>
        <w:t>2024-2</w:t>
      </w:r>
    </w:p>
    <w:p w14:paraId="673D4903" w14:textId="77777777" w:rsidR="00727C92" w:rsidRDefault="00727C92" w:rsidP="00727C92">
      <w:pPr>
        <w:spacing w:after="0" w:line="240" w:lineRule="auto"/>
      </w:pPr>
      <w:r>
        <w:t xml:space="preserve">This policy was retired with the content being combined with Policy 11003 – Accuracy and Integrity of Information Reported. </w:t>
      </w:r>
      <w:r w:rsidRPr="00164F0A">
        <w:rPr>
          <w:b/>
          <w:bCs/>
          <w:color w:val="FF0000"/>
        </w:rPr>
        <w:t>Recommended</w:t>
      </w:r>
    </w:p>
    <w:p w14:paraId="1F9AB2B6" w14:textId="77777777" w:rsidR="00727C92" w:rsidRDefault="00727C92" w:rsidP="0088059E">
      <w:pPr>
        <w:spacing w:after="0" w:line="240" w:lineRule="auto"/>
        <w:rPr>
          <w:b/>
          <w:bCs/>
          <w:color w:val="FF0000"/>
        </w:rPr>
      </w:pPr>
    </w:p>
    <w:p w14:paraId="7E6F0C3E" w14:textId="453DCE5D" w:rsidR="006C364A" w:rsidRDefault="006C364A" w:rsidP="0088059E">
      <w:pPr>
        <w:spacing w:after="0" w:line="240" w:lineRule="auto"/>
        <w:rPr>
          <w:b/>
          <w:bCs/>
          <w:color w:val="FF0000"/>
        </w:rPr>
      </w:pPr>
      <w:r>
        <w:rPr>
          <w:b/>
          <w:bCs/>
          <w:color w:val="FF0000"/>
        </w:rPr>
        <w:t>New Resource Added</w:t>
      </w:r>
      <w:r w:rsidR="00E50ACD">
        <w:rPr>
          <w:b/>
          <w:bCs/>
          <w:color w:val="FF0000"/>
        </w:rPr>
        <w:t xml:space="preserve"> within Sample Forms and Documents</w:t>
      </w:r>
    </w:p>
    <w:p w14:paraId="3B33F7CD" w14:textId="742B894C" w:rsidR="006C364A" w:rsidRPr="00702D90" w:rsidRDefault="006C364A" w:rsidP="006C364A">
      <w:pPr>
        <w:spacing w:after="0" w:line="240" w:lineRule="auto"/>
        <w:rPr>
          <w:b/>
          <w:bCs/>
          <w:u w:val="single"/>
        </w:rPr>
      </w:pPr>
      <w:r w:rsidRPr="00702D90">
        <w:rPr>
          <w:b/>
          <w:bCs/>
          <w:u w:val="single"/>
        </w:rPr>
        <w:t>Awareness Document</w:t>
      </w:r>
      <w:r>
        <w:rPr>
          <w:b/>
          <w:bCs/>
          <w:u w:val="single"/>
        </w:rPr>
        <w:t xml:space="preserve"> </w:t>
      </w:r>
      <w:r>
        <w:rPr>
          <w:b/>
          <w:bCs/>
          <w:i/>
          <w:iCs/>
          <w:color w:val="FF0000"/>
          <w:u w:val="single"/>
        </w:rPr>
        <w:t xml:space="preserve">(Use with Policy 2245 </w:t>
      </w:r>
      <w:r w:rsidR="009C60A6" w:rsidRPr="009C60A6">
        <w:rPr>
          <w:b/>
          <w:bCs/>
          <w:i/>
          <w:iCs/>
          <w:color w:val="FF0000"/>
          <w:u w:val="single"/>
        </w:rPr>
        <w:t>Elder and/or Vulnerable Adult Protections</w:t>
      </w:r>
      <w:r w:rsidR="009C60A6">
        <w:rPr>
          <w:b/>
          <w:bCs/>
          <w:i/>
          <w:iCs/>
          <w:color w:val="FF0000"/>
          <w:u w:val="single"/>
        </w:rPr>
        <w:t>)</w:t>
      </w:r>
    </w:p>
    <w:p w14:paraId="10FAC7AE" w14:textId="77777777" w:rsidR="006C364A" w:rsidRPr="00702D90" w:rsidRDefault="006C364A" w:rsidP="006C364A">
      <w:pPr>
        <w:spacing w:after="0" w:line="240" w:lineRule="auto"/>
        <w:rPr>
          <w:b/>
          <w:bCs/>
          <w:color w:val="FF0000"/>
        </w:rPr>
      </w:pPr>
      <w:r>
        <w:t xml:space="preserve">This form was created to assist credit unions with the requirements for providing members with an Awareness Document as outlined within Model Policy 2245 to ensure members are being adequately informed regarding transactions that may appear out of the ordinary for the member and potentially indicative of fraud and/or financial elder abuse. </w:t>
      </w:r>
      <w:r w:rsidRPr="00702D90">
        <w:rPr>
          <w:b/>
          <w:bCs/>
          <w:color w:val="FF0000"/>
        </w:rPr>
        <w:t>Recommended</w:t>
      </w:r>
    </w:p>
    <w:p w14:paraId="1107903F" w14:textId="77777777" w:rsidR="006C364A" w:rsidRPr="00F13AD2" w:rsidRDefault="006C364A" w:rsidP="0088059E">
      <w:pPr>
        <w:spacing w:after="0" w:line="240" w:lineRule="auto"/>
        <w:rPr>
          <w:b/>
          <w:bCs/>
          <w:color w:val="FF0000"/>
        </w:rPr>
      </w:pPr>
    </w:p>
    <w:sectPr w:rsidR="006C364A" w:rsidRPr="00F13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F36BF"/>
    <w:multiLevelType w:val="hybridMultilevel"/>
    <w:tmpl w:val="DB4E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A1E67"/>
    <w:multiLevelType w:val="hybridMultilevel"/>
    <w:tmpl w:val="2068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53580"/>
    <w:multiLevelType w:val="hybridMultilevel"/>
    <w:tmpl w:val="5834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D63DF1"/>
    <w:multiLevelType w:val="hybridMultilevel"/>
    <w:tmpl w:val="1C3E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AB2357"/>
    <w:multiLevelType w:val="hybridMultilevel"/>
    <w:tmpl w:val="E9EC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1557894">
    <w:abstractNumId w:val="1"/>
  </w:num>
  <w:num w:numId="2" w16cid:durableId="571814834">
    <w:abstractNumId w:val="4"/>
  </w:num>
  <w:num w:numId="3" w16cid:durableId="1110778075">
    <w:abstractNumId w:val="2"/>
  </w:num>
  <w:num w:numId="4" w16cid:durableId="916981353">
    <w:abstractNumId w:val="0"/>
  </w:num>
  <w:num w:numId="5" w16cid:durableId="833910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D8"/>
    <w:rsid w:val="00002043"/>
    <w:rsid w:val="0001185A"/>
    <w:rsid w:val="000133BC"/>
    <w:rsid w:val="00013B49"/>
    <w:rsid w:val="00014ECB"/>
    <w:rsid w:val="000161BB"/>
    <w:rsid w:val="00030E7F"/>
    <w:rsid w:val="00031E4E"/>
    <w:rsid w:val="00032436"/>
    <w:rsid w:val="0004050A"/>
    <w:rsid w:val="0004621A"/>
    <w:rsid w:val="00050951"/>
    <w:rsid w:val="00053F96"/>
    <w:rsid w:val="00055D77"/>
    <w:rsid w:val="00056B4E"/>
    <w:rsid w:val="00061694"/>
    <w:rsid w:val="00061AF2"/>
    <w:rsid w:val="00062977"/>
    <w:rsid w:val="00062D18"/>
    <w:rsid w:val="00063944"/>
    <w:rsid w:val="00065D5B"/>
    <w:rsid w:val="0007444B"/>
    <w:rsid w:val="00074C7F"/>
    <w:rsid w:val="00083017"/>
    <w:rsid w:val="0008350E"/>
    <w:rsid w:val="00092AA4"/>
    <w:rsid w:val="0009534C"/>
    <w:rsid w:val="000958BA"/>
    <w:rsid w:val="000B2E4F"/>
    <w:rsid w:val="000B5F59"/>
    <w:rsid w:val="000B6D23"/>
    <w:rsid w:val="000B7C66"/>
    <w:rsid w:val="000B7DC5"/>
    <w:rsid w:val="000C206C"/>
    <w:rsid w:val="000C209E"/>
    <w:rsid w:val="000C5028"/>
    <w:rsid w:val="000E1AE7"/>
    <w:rsid w:val="000E612F"/>
    <w:rsid w:val="000E700B"/>
    <w:rsid w:val="000F209D"/>
    <w:rsid w:val="000F426D"/>
    <w:rsid w:val="000F6075"/>
    <w:rsid w:val="000F7C68"/>
    <w:rsid w:val="0010047F"/>
    <w:rsid w:val="00100BA1"/>
    <w:rsid w:val="001069B7"/>
    <w:rsid w:val="001077EC"/>
    <w:rsid w:val="001125B2"/>
    <w:rsid w:val="0011621F"/>
    <w:rsid w:val="00122334"/>
    <w:rsid w:val="00122933"/>
    <w:rsid w:val="00122978"/>
    <w:rsid w:val="001273BD"/>
    <w:rsid w:val="0012790C"/>
    <w:rsid w:val="00131606"/>
    <w:rsid w:val="00132957"/>
    <w:rsid w:val="001378D5"/>
    <w:rsid w:val="001415EF"/>
    <w:rsid w:val="0014288E"/>
    <w:rsid w:val="00145261"/>
    <w:rsid w:val="00145C44"/>
    <w:rsid w:val="00146D2B"/>
    <w:rsid w:val="001523F7"/>
    <w:rsid w:val="00162E39"/>
    <w:rsid w:val="001644CB"/>
    <w:rsid w:val="00164F0A"/>
    <w:rsid w:val="0016548C"/>
    <w:rsid w:val="001662C1"/>
    <w:rsid w:val="00172441"/>
    <w:rsid w:val="001771AC"/>
    <w:rsid w:val="00180256"/>
    <w:rsid w:val="00180EE0"/>
    <w:rsid w:val="00181B2F"/>
    <w:rsid w:val="00186337"/>
    <w:rsid w:val="00192B00"/>
    <w:rsid w:val="00192FD2"/>
    <w:rsid w:val="00194296"/>
    <w:rsid w:val="0019582C"/>
    <w:rsid w:val="001960E5"/>
    <w:rsid w:val="001A3C63"/>
    <w:rsid w:val="001A7C1C"/>
    <w:rsid w:val="001B0CB0"/>
    <w:rsid w:val="001B41C0"/>
    <w:rsid w:val="001B42EE"/>
    <w:rsid w:val="001D0D96"/>
    <w:rsid w:val="001D1002"/>
    <w:rsid w:val="001D218A"/>
    <w:rsid w:val="001D39D8"/>
    <w:rsid w:val="001D4161"/>
    <w:rsid w:val="001D4B03"/>
    <w:rsid w:val="001D7C8F"/>
    <w:rsid w:val="001E032C"/>
    <w:rsid w:val="001E28CC"/>
    <w:rsid w:val="001E323B"/>
    <w:rsid w:val="001E45D5"/>
    <w:rsid w:val="001E4EDD"/>
    <w:rsid w:val="001F70FE"/>
    <w:rsid w:val="001F7A85"/>
    <w:rsid w:val="00204BB6"/>
    <w:rsid w:val="00212385"/>
    <w:rsid w:val="00213787"/>
    <w:rsid w:val="00213995"/>
    <w:rsid w:val="00222034"/>
    <w:rsid w:val="00223160"/>
    <w:rsid w:val="00224D0F"/>
    <w:rsid w:val="002275E7"/>
    <w:rsid w:val="00231D4A"/>
    <w:rsid w:val="00233633"/>
    <w:rsid w:val="00233FE1"/>
    <w:rsid w:val="00235E26"/>
    <w:rsid w:val="00240DA0"/>
    <w:rsid w:val="00241FD5"/>
    <w:rsid w:val="00242442"/>
    <w:rsid w:val="002429AD"/>
    <w:rsid w:val="00245AC5"/>
    <w:rsid w:val="00251CB7"/>
    <w:rsid w:val="00253283"/>
    <w:rsid w:val="002555DA"/>
    <w:rsid w:val="002569DA"/>
    <w:rsid w:val="00257B54"/>
    <w:rsid w:val="002610E5"/>
    <w:rsid w:val="00263F7A"/>
    <w:rsid w:val="00274015"/>
    <w:rsid w:val="00275F72"/>
    <w:rsid w:val="0028073B"/>
    <w:rsid w:val="0028080A"/>
    <w:rsid w:val="00284F14"/>
    <w:rsid w:val="0028522F"/>
    <w:rsid w:val="002867C1"/>
    <w:rsid w:val="00287265"/>
    <w:rsid w:val="0029061E"/>
    <w:rsid w:val="0029248D"/>
    <w:rsid w:val="00294533"/>
    <w:rsid w:val="002966B1"/>
    <w:rsid w:val="002A6483"/>
    <w:rsid w:val="002A7958"/>
    <w:rsid w:val="002A7C28"/>
    <w:rsid w:val="002B2214"/>
    <w:rsid w:val="002B2BCD"/>
    <w:rsid w:val="002B4207"/>
    <w:rsid w:val="002B5180"/>
    <w:rsid w:val="002B546C"/>
    <w:rsid w:val="002C106A"/>
    <w:rsid w:val="002C5DEC"/>
    <w:rsid w:val="002C78DC"/>
    <w:rsid w:val="002D01B2"/>
    <w:rsid w:val="002D17DE"/>
    <w:rsid w:val="002D30D6"/>
    <w:rsid w:val="002D6517"/>
    <w:rsid w:val="002D6CE3"/>
    <w:rsid w:val="002D74CE"/>
    <w:rsid w:val="002E046E"/>
    <w:rsid w:val="002E1EE2"/>
    <w:rsid w:val="002E2095"/>
    <w:rsid w:val="002E2A8D"/>
    <w:rsid w:val="002E3967"/>
    <w:rsid w:val="002E3F02"/>
    <w:rsid w:val="002E72C6"/>
    <w:rsid w:val="002F073D"/>
    <w:rsid w:val="002F0A6D"/>
    <w:rsid w:val="00304442"/>
    <w:rsid w:val="00305D2B"/>
    <w:rsid w:val="003113A0"/>
    <w:rsid w:val="00316F76"/>
    <w:rsid w:val="00322974"/>
    <w:rsid w:val="00330713"/>
    <w:rsid w:val="00333677"/>
    <w:rsid w:val="00345E74"/>
    <w:rsid w:val="00352D78"/>
    <w:rsid w:val="00361A22"/>
    <w:rsid w:val="00366C0E"/>
    <w:rsid w:val="00367285"/>
    <w:rsid w:val="00372E8C"/>
    <w:rsid w:val="00373426"/>
    <w:rsid w:val="0037351C"/>
    <w:rsid w:val="00375355"/>
    <w:rsid w:val="00376469"/>
    <w:rsid w:val="003A1F5E"/>
    <w:rsid w:val="003A2925"/>
    <w:rsid w:val="003A5258"/>
    <w:rsid w:val="003A5ED8"/>
    <w:rsid w:val="003B1B5F"/>
    <w:rsid w:val="003B29F7"/>
    <w:rsid w:val="003C4CFB"/>
    <w:rsid w:val="003C7051"/>
    <w:rsid w:val="003D518F"/>
    <w:rsid w:val="003D7F0F"/>
    <w:rsid w:val="003E0C0A"/>
    <w:rsid w:val="003E72FF"/>
    <w:rsid w:val="00401A81"/>
    <w:rsid w:val="00401AD1"/>
    <w:rsid w:val="0040415C"/>
    <w:rsid w:val="004057C0"/>
    <w:rsid w:val="0042302E"/>
    <w:rsid w:val="00427B3B"/>
    <w:rsid w:val="00430146"/>
    <w:rsid w:val="00431315"/>
    <w:rsid w:val="00432B7A"/>
    <w:rsid w:val="00442E50"/>
    <w:rsid w:val="00445F43"/>
    <w:rsid w:val="00450B1A"/>
    <w:rsid w:val="0045209B"/>
    <w:rsid w:val="00456EF9"/>
    <w:rsid w:val="004636F6"/>
    <w:rsid w:val="0047014F"/>
    <w:rsid w:val="00472904"/>
    <w:rsid w:val="004768D0"/>
    <w:rsid w:val="00483EF8"/>
    <w:rsid w:val="00484F78"/>
    <w:rsid w:val="004855DD"/>
    <w:rsid w:val="0049012C"/>
    <w:rsid w:val="004929E1"/>
    <w:rsid w:val="00497626"/>
    <w:rsid w:val="004A0A3D"/>
    <w:rsid w:val="004A0CE6"/>
    <w:rsid w:val="004A24DD"/>
    <w:rsid w:val="004A43D4"/>
    <w:rsid w:val="004A6422"/>
    <w:rsid w:val="004B3181"/>
    <w:rsid w:val="004C3BA0"/>
    <w:rsid w:val="004C3E4D"/>
    <w:rsid w:val="004C4157"/>
    <w:rsid w:val="004C4A47"/>
    <w:rsid w:val="004D00B7"/>
    <w:rsid w:val="004E01EC"/>
    <w:rsid w:val="004F2DC4"/>
    <w:rsid w:val="004F479F"/>
    <w:rsid w:val="004F61EB"/>
    <w:rsid w:val="00500847"/>
    <w:rsid w:val="005039E3"/>
    <w:rsid w:val="005123AC"/>
    <w:rsid w:val="00521556"/>
    <w:rsid w:val="00521AE3"/>
    <w:rsid w:val="00531193"/>
    <w:rsid w:val="005322A2"/>
    <w:rsid w:val="00535255"/>
    <w:rsid w:val="00560083"/>
    <w:rsid w:val="00562874"/>
    <w:rsid w:val="00562ACB"/>
    <w:rsid w:val="005641C8"/>
    <w:rsid w:val="0056532B"/>
    <w:rsid w:val="00573DAA"/>
    <w:rsid w:val="00576C93"/>
    <w:rsid w:val="00581F8B"/>
    <w:rsid w:val="00585A04"/>
    <w:rsid w:val="005865B4"/>
    <w:rsid w:val="00593EF7"/>
    <w:rsid w:val="005978C6"/>
    <w:rsid w:val="005A2C95"/>
    <w:rsid w:val="005A6893"/>
    <w:rsid w:val="005A755E"/>
    <w:rsid w:val="005A7C2A"/>
    <w:rsid w:val="005B0843"/>
    <w:rsid w:val="005B096F"/>
    <w:rsid w:val="005B5DDA"/>
    <w:rsid w:val="005B5F33"/>
    <w:rsid w:val="005C6007"/>
    <w:rsid w:val="005C7867"/>
    <w:rsid w:val="005D3612"/>
    <w:rsid w:val="005D4F89"/>
    <w:rsid w:val="005E30F9"/>
    <w:rsid w:val="005F0486"/>
    <w:rsid w:val="005F1D8C"/>
    <w:rsid w:val="005F28EC"/>
    <w:rsid w:val="005F2B1F"/>
    <w:rsid w:val="005F3F59"/>
    <w:rsid w:val="005F7480"/>
    <w:rsid w:val="00601D23"/>
    <w:rsid w:val="006050CB"/>
    <w:rsid w:val="0060513D"/>
    <w:rsid w:val="006125A3"/>
    <w:rsid w:val="0061433B"/>
    <w:rsid w:val="006150CC"/>
    <w:rsid w:val="00620EBB"/>
    <w:rsid w:val="00626F00"/>
    <w:rsid w:val="006309AF"/>
    <w:rsid w:val="00631090"/>
    <w:rsid w:val="0063174E"/>
    <w:rsid w:val="006359C3"/>
    <w:rsid w:val="006365BA"/>
    <w:rsid w:val="00640F93"/>
    <w:rsid w:val="006414EB"/>
    <w:rsid w:val="00641949"/>
    <w:rsid w:val="00641B8E"/>
    <w:rsid w:val="00650F05"/>
    <w:rsid w:val="00651A32"/>
    <w:rsid w:val="006527EA"/>
    <w:rsid w:val="00654059"/>
    <w:rsid w:val="006660ED"/>
    <w:rsid w:val="00670F42"/>
    <w:rsid w:val="00673D75"/>
    <w:rsid w:val="00686E14"/>
    <w:rsid w:val="00687DFC"/>
    <w:rsid w:val="0069104E"/>
    <w:rsid w:val="00693689"/>
    <w:rsid w:val="0069772E"/>
    <w:rsid w:val="006A154A"/>
    <w:rsid w:val="006A2D03"/>
    <w:rsid w:val="006A773E"/>
    <w:rsid w:val="006B018B"/>
    <w:rsid w:val="006B099E"/>
    <w:rsid w:val="006B21B1"/>
    <w:rsid w:val="006B2853"/>
    <w:rsid w:val="006B562C"/>
    <w:rsid w:val="006C034E"/>
    <w:rsid w:val="006C0949"/>
    <w:rsid w:val="006C13E5"/>
    <w:rsid w:val="006C189D"/>
    <w:rsid w:val="006C364A"/>
    <w:rsid w:val="006C54F5"/>
    <w:rsid w:val="006C6482"/>
    <w:rsid w:val="006D1172"/>
    <w:rsid w:val="006E0055"/>
    <w:rsid w:val="006E433D"/>
    <w:rsid w:val="006E5158"/>
    <w:rsid w:val="006F033C"/>
    <w:rsid w:val="006F1D4D"/>
    <w:rsid w:val="00702D90"/>
    <w:rsid w:val="00705D94"/>
    <w:rsid w:val="00706EE8"/>
    <w:rsid w:val="00722867"/>
    <w:rsid w:val="00726D78"/>
    <w:rsid w:val="00727C92"/>
    <w:rsid w:val="00730955"/>
    <w:rsid w:val="00732AB8"/>
    <w:rsid w:val="00736A2F"/>
    <w:rsid w:val="00741B24"/>
    <w:rsid w:val="00741C32"/>
    <w:rsid w:val="00746419"/>
    <w:rsid w:val="00747A24"/>
    <w:rsid w:val="00751290"/>
    <w:rsid w:val="00751B94"/>
    <w:rsid w:val="00762B01"/>
    <w:rsid w:val="00767E28"/>
    <w:rsid w:val="00774AD7"/>
    <w:rsid w:val="0079047B"/>
    <w:rsid w:val="00792D81"/>
    <w:rsid w:val="00796B36"/>
    <w:rsid w:val="0079793C"/>
    <w:rsid w:val="007A066E"/>
    <w:rsid w:val="007A376E"/>
    <w:rsid w:val="007B037B"/>
    <w:rsid w:val="007C5653"/>
    <w:rsid w:val="007C596D"/>
    <w:rsid w:val="007C6804"/>
    <w:rsid w:val="007D507D"/>
    <w:rsid w:val="007D576B"/>
    <w:rsid w:val="007E4CE7"/>
    <w:rsid w:val="007E62B5"/>
    <w:rsid w:val="007F2943"/>
    <w:rsid w:val="007F621D"/>
    <w:rsid w:val="008001B5"/>
    <w:rsid w:val="00800615"/>
    <w:rsid w:val="00803D47"/>
    <w:rsid w:val="008048BB"/>
    <w:rsid w:val="00805069"/>
    <w:rsid w:val="0080536D"/>
    <w:rsid w:val="00811803"/>
    <w:rsid w:val="008246B0"/>
    <w:rsid w:val="00825340"/>
    <w:rsid w:val="0082752F"/>
    <w:rsid w:val="00830FB5"/>
    <w:rsid w:val="008316A4"/>
    <w:rsid w:val="00832D86"/>
    <w:rsid w:val="00835D7E"/>
    <w:rsid w:val="0084232F"/>
    <w:rsid w:val="008449DA"/>
    <w:rsid w:val="00846769"/>
    <w:rsid w:val="00847125"/>
    <w:rsid w:val="00847DA7"/>
    <w:rsid w:val="00850D1F"/>
    <w:rsid w:val="00852F8D"/>
    <w:rsid w:val="008619A3"/>
    <w:rsid w:val="0086290D"/>
    <w:rsid w:val="00865B3B"/>
    <w:rsid w:val="00867D00"/>
    <w:rsid w:val="008728A8"/>
    <w:rsid w:val="008765B3"/>
    <w:rsid w:val="00880597"/>
    <w:rsid w:val="0088059E"/>
    <w:rsid w:val="00892B28"/>
    <w:rsid w:val="008A3D55"/>
    <w:rsid w:val="008A4D1E"/>
    <w:rsid w:val="008A5AB5"/>
    <w:rsid w:val="008B0B3A"/>
    <w:rsid w:val="008B0F7C"/>
    <w:rsid w:val="008B163A"/>
    <w:rsid w:val="008B2FC8"/>
    <w:rsid w:val="008B47C7"/>
    <w:rsid w:val="008B48B2"/>
    <w:rsid w:val="008C2ED2"/>
    <w:rsid w:val="008C43AB"/>
    <w:rsid w:val="008C605D"/>
    <w:rsid w:val="008C6A3C"/>
    <w:rsid w:val="008C7F9B"/>
    <w:rsid w:val="008D3382"/>
    <w:rsid w:val="008E4CED"/>
    <w:rsid w:val="008E5885"/>
    <w:rsid w:val="008E6EB4"/>
    <w:rsid w:val="008F7503"/>
    <w:rsid w:val="00903D51"/>
    <w:rsid w:val="00905476"/>
    <w:rsid w:val="00912B9C"/>
    <w:rsid w:val="00917A9C"/>
    <w:rsid w:val="009224D7"/>
    <w:rsid w:val="0092529B"/>
    <w:rsid w:val="00937F0E"/>
    <w:rsid w:val="00945A8B"/>
    <w:rsid w:val="00946618"/>
    <w:rsid w:val="00947A3F"/>
    <w:rsid w:val="00950F42"/>
    <w:rsid w:val="00951037"/>
    <w:rsid w:val="009511AF"/>
    <w:rsid w:val="00952A8C"/>
    <w:rsid w:val="009539BC"/>
    <w:rsid w:val="00953ABE"/>
    <w:rsid w:val="00956F1D"/>
    <w:rsid w:val="00963DB7"/>
    <w:rsid w:val="00964784"/>
    <w:rsid w:val="00967709"/>
    <w:rsid w:val="009704AD"/>
    <w:rsid w:val="00971CFA"/>
    <w:rsid w:val="009724F8"/>
    <w:rsid w:val="00972CF6"/>
    <w:rsid w:val="00972EE6"/>
    <w:rsid w:val="00974BEA"/>
    <w:rsid w:val="009770D6"/>
    <w:rsid w:val="00977C24"/>
    <w:rsid w:val="00980EB7"/>
    <w:rsid w:val="00981AAB"/>
    <w:rsid w:val="0099169C"/>
    <w:rsid w:val="00996DF4"/>
    <w:rsid w:val="009A045C"/>
    <w:rsid w:val="009A4CAC"/>
    <w:rsid w:val="009A7322"/>
    <w:rsid w:val="009A7D8A"/>
    <w:rsid w:val="009B0061"/>
    <w:rsid w:val="009B0E62"/>
    <w:rsid w:val="009B5123"/>
    <w:rsid w:val="009C13B7"/>
    <w:rsid w:val="009C4939"/>
    <w:rsid w:val="009C4C4C"/>
    <w:rsid w:val="009C60A6"/>
    <w:rsid w:val="009C6A94"/>
    <w:rsid w:val="009C6B65"/>
    <w:rsid w:val="009D1539"/>
    <w:rsid w:val="009D5157"/>
    <w:rsid w:val="009E1DBC"/>
    <w:rsid w:val="009E4DA8"/>
    <w:rsid w:val="009E522D"/>
    <w:rsid w:val="009F17EA"/>
    <w:rsid w:val="009F3B2D"/>
    <w:rsid w:val="00A02C9F"/>
    <w:rsid w:val="00A05281"/>
    <w:rsid w:val="00A05475"/>
    <w:rsid w:val="00A06D68"/>
    <w:rsid w:val="00A06F18"/>
    <w:rsid w:val="00A1162A"/>
    <w:rsid w:val="00A1622A"/>
    <w:rsid w:val="00A20BDA"/>
    <w:rsid w:val="00A47A10"/>
    <w:rsid w:val="00A51BF1"/>
    <w:rsid w:val="00A522CA"/>
    <w:rsid w:val="00A549D3"/>
    <w:rsid w:val="00A56879"/>
    <w:rsid w:val="00A6009D"/>
    <w:rsid w:val="00A6340A"/>
    <w:rsid w:val="00A63469"/>
    <w:rsid w:val="00A63D10"/>
    <w:rsid w:val="00A63E1F"/>
    <w:rsid w:val="00A65289"/>
    <w:rsid w:val="00A65684"/>
    <w:rsid w:val="00A65879"/>
    <w:rsid w:val="00A66903"/>
    <w:rsid w:val="00A70E0A"/>
    <w:rsid w:val="00A7303B"/>
    <w:rsid w:val="00A7638D"/>
    <w:rsid w:val="00A767E3"/>
    <w:rsid w:val="00A77817"/>
    <w:rsid w:val="00A77E5C"/>
    <w:rsid w:val="00A8144D"/>
    <w:rsid w:val="00A8229E"/>
    <w:rsid w:val="00AA0898"/>
    <w:rsid w:val="00AA0EAD"/>
    <w:rsid w:val="00AA22E9"/>
    <w:rsid w:val="00AA5B5A"/>
    <w:rsid w:val="00AA61BA"/>
    <w:rsid w:val="00AA69F6"/>
    <w:rsid w:val="00AB0CF0"/>
    <w:rsid w:val="00AB1010"/>
    <w:rsid w:val="00AB1635"/>
    <w:rsid w:val="00AB34D1"/>
    <w:rsid w:val="00AB616E"/>
    <w:rsid w:val="00AB7CA8"/>
    <w:rsid w:val="00AC3C05"/>
    <w:rsid w:val="00AC3FF6"/>
    <w:rsid w:val="00AC61DD"/>
    <w:rsid w:val="00AD102F"/>
    <w:rsid w:val="00AD21D0"/>
    <w:rsid w:val="00AD44F9"/>
    <w:rsid w:val="00AD6386"/>
    <w:rsid w:val="00AD679E"/>
    <w:rsid w:val="00AE7D43"/>
    <w:rsid w:val="00AF1BB5"/>
    <w:rsid w:val="00AF1FB9"/>
    <w:rsid w:val="00AF5EA0"/>
    <w:rsid w:val="00AF63F3"/>
    <w:rsid w:val="00AF72D5"/>
    <w:rsid w:val="00B01084"/>
    <w:rsid w:val="00B03E52"/>
    <w:rsid w:val="00B104D6"/>
    <w:rsid w:val="00B1065E"/>
    <w:rsid w:val="00B13D61"/>
    <w:rsid w:val="00B26FBD"/>
    <w:rsid w:val="00B33742"/>
    <w:rsid w:val="00B40C75"/>
    <w:rsid w:val="00B41107"/>
    <w:rsid w:val="00B428F7"/>
    <w:rsid w:val="00B45722"/>
    <w:rsid w:val="00B4616D"/>
    <w:rsid w:val="00B50B85"/>
    <w:rsid w:val="00B513B7"/>
    <w:rsid w:val="00B5505F"/>
    <w:rsid w:val="00B60F63"/>
    <w:rsid w:val="00B64F93"/>
    <w:rsid w:val="00B66D14"/>
    <w:rsid w:val="00B66DB9"/>
    <w:rsid w:val="00B74069"/>
    <w:rsid w:val="00B77B66"/>
    <w:rsid w:val="00B80B14"/>
    <w:rsid w:val="00B846B1"/>
    <w:rsid w:val="00B914F2"/>
    <w:rsid w:val="00B9250F"/>
    <w:rsid w:val="00B92DDC"/>
    <w:rsid w:val="00B95076"/>
    <w:rsid w:val="00BA3D3D"/>
    <w:rsid w:val="00BA4740"/>
    <w:rsid w:val="00BB1C57"/>
    <w:rsid w:val="00BB54D6"/>
    <w:rsid w:val="00BC7063"/>
    <w:rsid w:val="00BD1772"/>
    <w:rsid w:val="00BD3A90"/>
    <w:rsid w:val="00BD4A6C"/>
    <w:rsid w:val="00BD73C4"/>
    <w:rsid w:val="00BE306E"/>
    <w:rsid w:val="00BF1FCD"/>
    <w:rsid w:val="00BF222E"/>
    <w:rsid w:val="00BF3913"/>
    <w:rsid w:val="00BF5103"/>
    <w:rsid w:val="00C041B1"/>
    <w:rsid w:val="00C06F53"/>
    <w:rsid w:val="00C167AE"/>
    <w:rsid w:val="00C16B68"/>
    <w:rsid w:val="00C202EB"/>
    <w:rsid w:val="00C2033A"/>
    <w:rsid w:val="00C21139"/>
    <w:rsid w:val="00C22344"/>
    <w:rsid w:val="00C3042E"/>
    <w:rsid w:val="00C43DA0"/>
    <w:rsid w:val="00C540EB"/>
    <w:rsid w:val="00C54E2F"/>
    <w:rsid w:val="00C55A5B"/>
    <w:rsid w:val="00C570F5"/>
    <w:rsid w:val="00C57235"/>
    <w:rsid w:val="00C608AC"/>
    <w:rsid w:val="00C615D8"/>
    <w:rsid w:val="00C61697"/>
    <w:rsid w:val="00C61733"/>
    <w:rsid w:val="00C61AE3"/>
    <w:rsid w:val="00C625E8"/>
    <w:rsid w:val="00C631E0"/>
    <w:rsid w:val="00C65B1B"/>
    <w:rsid w:val="00C67CA2"/>
    <w:rsid w:val="00C67D01"/>
    <w:rsid w:val="00C70555"/>
    <w:rsid w:val="00C72C05"/>
    <w:rsid w:val="00C768F9"/>
    <w:rsid w:val="00C778E3"/>
    <w:rsid w:val="00C8048C"/>
    <w:rsid w:val="00C82AC8"/>
    <w:rsid w:val="00C831E0"/>
    <w:rsid w:val="00C92483"/>
    <w:rsid w:val="00C926BF"/>
    <w:rsid w:val="00C927E5"/>
    <w:rsid w:val="00C9492D"/>
    <w:rsid w:val="00C97AA2"/>
    <w:rsid w:val="00CA1A0B"/>
    <w:rsid w:val="00CA389C"/>
    <w:rsid w:val="00CA7363"/>
    <w:rsid w:val="00CB1549"/>
    <w:rsid w:val="00CB6A47"/>
    <w:rsid w:val="00CC250D"/>
    <w:rsid w:val="00CC3103"/>
    <w:rsid w:val="00CC4B63"/>
    <w:rsid w:val="00CD14FD"/>
    <w:rsid w:val="00CD2264"/>
    <w:rsid w:val="00CD4AEC"/>
    <w:rsid w:val="00CD5450"/>
    <w:rsid w:val="00CD60D9"/>
    <w:rsid w:val="00CD672F"/>
    <w:rsid w:val="00CD6E92"/>
    <w:rsid w:val="00CD70C6"/>
    <w:rsid w:val="00CE7D9C"/>
    <w:rsid w:val="00CF1159"/>
    <w:rsid w:val="00CF1EBD"/>
    <w:rsid w:val="00CF2973"/>
    <w:rsid w:val="00CF4BD5"/>
    <w:rsid w:val="00CF744B"/>
    <w:rsid w:val="00D017C6"/>
    <w:rsid w:val="00D035EF"/>
    <w:rsid w:val="00D10760"/>
    <w:rsid w:val="00D11D5B"/>
    <w:rsid w:val="00D22FAB"/>
    <w:rsid w:val="00D22FDF"/>
    <w:rsid w:val="00D25AD4"/>
    <w:rsid w:val="00D274DD"/>
    <w:rsid w:val="00D32B71"/>
    <w:rsid w:val="00D404FD"/>
    <w:rsid w:val="00D4436B"/>
    <w:rsid w:val="00D44B30"/>
    <w:rsid w:val="00D44FAF"/>
    <w:rsid w:val="00D47EC7"/>
    <w:rsid w:val="00D538D3"/>
    <w:rsid w:val="00D60EF9"/>
    <w:rsid w:val="00D61811"/>
    <w:rsid w:val="00D61A9E"/>
    <w:rsid w:val="00D625CE"/>
    <w:rsid w:val="00D6536C"/>
    <w:rsid w:val="00D66927"/>
    <w:rsid w:val="00D71B81"/>
    <w:rsid w:val="00D728AE"/>
    <w:rsid w:val="00D72D1F"/>
    <w:rsid w:val="00D73DD9"/>
    <w:rsid w:val="00D76211"/>
    <w:rsid w:val="00D86707"/>
    <w:rsid w:val="00D90A55"/>
    <w:rsid w:val="00D93094"/>
    <w:rsid w:val="00D938F8"/>
    <w:rsid w:val="00D9459B"/>
    <w:rsid w:val="00D97FBE"/>
    <w:rsid w:val="00DA50DB"/>
    <w:rsid w:val="00DA7808"/>
    <w:rsid w:val="00DB208C"/>
    <w:rsid w:val="00DB3339"/>
    <w:rsid w:val="00DB3FFA"/>
    <w:rsid w:val="00DB5D6C"/>
    <w:rsid w:val="00DB7A5E"/>
    <w:rsid w:val="00DC6FF3"/>
    <w:rsid w:val="00DC74A9"/>
    <w:rsid w:val="00DD1D29"/>
    <w:rsid w:val="00DD2093"/>
    <w:rsid w:val="00DD73DD"/>
    <w:rsid w:val="00DE45B7"/>
    <w:rsid w:val="00DE5B11"/>
    <w:rsid w:val="00DF449D"/>
    <w:rsid w:val="00DF44C6"/>
    <w:rsid w:val="00E05662"/>
    <w:rsid w:val="00E12BC8"/>
    <w:rsid w:val="00E13500"/>
    <w:rsid w:val="00E16A08"/>
    <w:rsid w:val="00E16D16"/>
    <w:rsid w:val="00E170FC"/>
    <w:rsid w:val="00E2041F"/>
    <w:rsid w:val="00E245BE"/>
    <w:rsid w:val="00E2470F"/>
    <w:rsid w:val="00E2503D"/>
    <w:rsid w:val="00E2756B"/>
    <w:rsid w:val="00E3176D"/>
    <w:rsid w:val="00E42D8B"/>
    <w:rsid w:val="00E43310"/>
    <w:rsid w:val="00E43334"/>
    <w:rsid w:val="00E43C13"/>
    <w:rsid w:val="00E50ACD"/>
    <w:rsid w:val="00E52A13"/>
    <w:rsid w:val="00E536D2"/>
    <w:rsid w:val="00E54CDE"/>
    <w:rsid w:val="00E65FD8"/>
    <w:rsid w:val="00E66727"/>
    <w:rsid w:val="00E742B0"/>
    <w:rsid w:val="00E7571F"/>
    <w:rsid w:val="00E75E06"/>
    <w:rsid w:val="00E80A11"/>
    <w:rsid w:val="00E81234"/>
    <w:rsid w:val="00E817E1"/>
    <w:rsid w:val="00E82CB0"/>
    <w:rsid w:val="00E8334A"/>
    <w:rsid w:val="00E85D3F"/>
    <w:rsid w:val="00E86DF1"/>
    <w:rsid w:val="00E939D7"/>
    <w:rsid w:val="00E953F6"/>
    <w:rsid w:val="00EA2AA1"/>
    <w:rsid w:val="00EA2AF3"/>
    <w:rsid w:val="00EA4386"/>
    <w:rsid w:val="00EA4647"/>
    <w:rsid w:val="00EA4DB6"/>
    <w:rsid w:val="00EA5BF0"/>
    <w:rsid w:val="00EA65DA"/>
    <w:rsid w:val="00EB2E82"/>
    <w:rsid w:val="00EB4253"/>
    <w:rsid w:val="00EB49B8"/>
    <w:rsid w:val="00ED09BC"/>
    <w:rsid w:val="00ED5622"/>
    <w:rsid w:val="00ED6043"/>
    <w:rsid w:val="00ED6FCF"/>
    <w:rsid w:val="00EE0E31"/>
    <w:rsid w:val="00EE39BC"/>
    <w:rsid w:val="00EE5708"/>
    <w:rsid w:val="00EE6E1B"/>
    <w:rsid w:val="00EF3BC8"/>
    <w:rsid w:val="00EF6644"/>
    <w:rsid w:val="00EF7423"/>
    <w:rsid w:val="00F0380A"/>
    <w:rsid w:val="00F13AD2"/>
    <w:rsid w:val="00F145B6"/>
    <w:rsid w:val="00F2208B"/>
    <w:rsid w:val="00F251C2"/>
    <w:rsid w:val="00F42F2E"/>
    <w:rsid w:val="00F4373E"/>
    <w:rsid w:val="00F444CD"/>
    <w:rsid w:val="00F44EC2"/>
    <w:rsid w:val="00F54111"/>
    <w:rsid w:val="00F54FC7"/>
    <w:rsid w:val="00F55405"/>
    <w:rsid w:val="00F56C19"/>
    <w:rsid w:val="00F627B3"/>
    <w:rsid w:val="00F64797"/>
    <w:rsid w:val="00F65E19"/>
    <w:rsid w:val="00F67A0E"/>
    <w:rsid w:val="00F70907"/>
    <w:rsid w:val="00F8444C"/>
    <w:rsid w:val="00F84605"/>
    <w:rsid w:val="00F867FC"/>
    <w:rsid w:val="00F87F5F"/>
    <w:rsid w:val="00F92F4F"/>
    <w:rsid w:val="00F943BD"/>
    <w:rsid w:val="00F97734"/>
    <w:rsid w:val="00FA1FE4"/>
    <w:rsid w:val="00FB1465"/>
    <w:rsid w:val="00FB2C71"/>
    <w:rsid w:val="00FB7A82"/>
    <w:rsid w:val="00FC2A1C"/>
    <w:rsid w:val="00FC58B0"/>
    <w:rsid w:val="00FC5B70"/>
    <w:rsid w:val="00FD0A77"/>
    <w:rsid w:val="00FD13E4"/>
    <w:rsid w:val="00FD18FD"/>
    <w:rsid w:val="00FD57CE"/>
    <w:rsid w:val="00FD6183"/>
    <w:rsid w:val="00FD6630"/>
    <w:rsid w:val="00FF10D7"/>
    <w:rsid w:val="00FF17D2"/>
    <w:rsid w:val="00FF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2D0C"/>
  <w15:chartTrackingRefBased/>
  <w15:docId w15:val="{3D290571-F6DC-45DF-9C44-D60B4DE3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92D"/>
    <w:rPr>
      <w:color w:val="0563C1" w:themeColor="hyperlink"/>
      <w:u w:val="single"/>
    </w:rPr>
  </w:style>
  <w:style w:type="character" w:styleId="UnresolvedMention">
    <w:name w:val="Unresolved Mention"/>
    <w:basedOn w:val="DefaultParagraphFont"/>
    <w:uiPriority w:val="99"/>
    <w:semiHidden/>
    <w:unhideWhenUsed/>
    <w:rsid w:val="00C9492D"/>
    <w:rPr>
      <w:color w:val="605E5C"/>
      <w:shd w:val="clear" w:color="auto" w:fill="E1DFDD"/>
    </w:rPr>
  </w:style>
  <w:style w:type="paragraph" w:styleId="ListParagraph">
    <w:name w:val="List Paragraph"/>
    <w:basedOn w:val="Normal"/>
    <w:uiPriority w:val="34"/>
    <w:qFormat/>
    <w:rsid w:val="005F0486"/>
    <w:pPr>
      <w:ind w:left="720"/>
      <w:contextualSpacing/>
    </w:pPr>
  </w:style>
  <w:style w:type="character" w:styleId="Strong">
    <w:name w:val="Strong"/>
    <w:basedOn w:val="DefaultParagraphFont"/>
    <w:uiPriority w:val="22"/>
    <w:qFormat/>
    <w:rsid w:val="00427B3B"/>
    <w:rPr>
      <w:b/>
      <w:bCs/>
    </w:rPr>
  </w:style>
  <w:style w:type="character" w:styleId="FollowedHyperlink">
    <w:name w:val="FollowedHyperlink"/>
    <w:basedOn w:val="DefaultParagraphFont"/>
    <w:uiPriority w:val="99"/>
    <w:semiHidden/>
    <w:unhideWhenUsed/>
    <w:rsid w:val="0012790C"/>
    <w:rPr>
      <w:color w:val="954F72" w:themeColor="followedHyperlink"/>
      <w:u w:val="single"/>
    </w:rPr>
  </w:style>
  <w:style w:type="paragraph" w:styleId="Revision">
    <w:name w:val="Revision"/>
    <w:hidden/>
    <w:uiPriority w:val="99"/>
    <w:semiHidden/>
    <w:rsid w:val="0049012C"/>
    <w:pPr>
      <w:spacing w:after="0" w:line="240" w:lineRule="auto"/>
    </w:pPr>
  </w:style>
  <w:style w:type="character" w:styleId="CommentReference">
    <w:name w:val="annotation reference"/>
    <w:basedOn w:val="DefaultParagraphFont"/>
    <w:uiPriority w:val="99"/>
    <w:semiHidden/>
    <w:unhideWhenUsed/>
    <w:rsid w:val="00D6536C"/>
    <w:rPr>
      <w:sz w:val="16"/>
      <w:szCs w:val="16"/>
    </w:rPr>
  </w:style>
  <w:style w:type="paragraph" w:styleId="CommentText">
    <w:name w:val="annotation text"/>
    <w:basedOn w:val="Normal"/>
    <w:link w:val="CommentTextChar"/>
    <w:uiPriority w:val="99"/>
    <w:unhideWhenUsed/>
    <w:rsid w:val="00D6536C"/>
    <w:pPr>
      <w:spacing w:line="240" w:lineRule="auto"/>
    </w:pPr>
    <w:rPr>
      <w:sz w:val="20"/>
      <w:szCs w:val="20"/>
    </w:rPr>
  </w:style>
  <w:style w:type="character" w:customStyle="1" w:styleId="CommentTextChar">
    <w:name w:val="Comment Text Char"/>
    <w:basedOn w:val="DefaultParagraphFont"/>
    <w:link w:val="CommentText"/>
    <w:uiPriority w:val="99"/>
    <w:rsid w:val="00D6536C"/>
    <w:rPr>
      <w:sz w:val="20"/>
      <w:szCs w:val="20"/>
    </w:rPr>
  </w:style>
  <w:style w:type="paragraph" w:styleId="CommentSubject">
    <w:name w:val="annotation subject"/>
    <w:basedOn w:val="CommentText"/>
    <w:next w:val="CommentText"/>
    <w:link w:val="CommentSubjectChar"/>
    <w:uiPriority w:val="99"/>
    <w:semiHidden/>
    <w:unhideWhenUsed/>
    <w:rsid w:val="00D6536C"/>
    <w:rPr>
      <w:b/>
      <w:bCs/>
    </w:rPr>
  </w:style>
  <w:style w:type="character" w:customStyle="1" w:styleId="CommentSubjectChar">
    <w:name w:val="Comment Subject Char"/>
    <w:basedOn w:val="CommentTextChar"/>
    <w:link w:val="CommentSubject"/>
    <w:uiPriority w:val="99"/>
    <w:semiHidden/>
    <w:rsid w:val="00D653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newsroom/irs-reminds-those-aged-73-and-older-to-make-required-withdrawals-from-iras-and-retirement-plans-by-dec-31-notes-changes-in-the-law-for-2023" TargetMode="External"/><Relationship Id="rId13" Type="http://schemas.openxmlformats.org/officeDocument/2006/relationships/hyperlink" Target="https://www.federalregister.gov/documents/2024/01/26/2023-28832/targeting-and-eliminating-unlawful-text-messages-implementation-of-the-telephone-consumer-protection" TargetMode="External"/><Relationship Id="rId3" Type="http://schemas.openxmlformats.org/officeDocument/2006/relationships/settings" Target="settings.xml"/><Relationship Id="rId7" Type="http://schemas.openxmlformats.org/officeDocument/2006/relationships/hyperlink" Target="https://www.federalregister.gov/documents/2022/02/03/2022-02038/succession-planning" TargetMode="External"/><Relationship Id="rId12" Type="http://schemas.openxmlformats.org/officeDocument/2006/relationships/hyperlink" Target="https://www.federalregister.gov/documents/2024/03/05/2024-04587/strengthening-the-ability-of-consumers-to-stop-robocal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iles.consumerfinance.gov/f/documents/cfpb_credit-card-penalty-fees_final-rule_2024-01.pdf" TargetMode="External"/><Relationship Id="rId11" Type="http://schemas.openxmlformats.org/officeDocument/2006/relationships/hyperlink" Target="https://www.consumerfinance.gov/rules-policy/final-rules/credit-card-penalty-fees-final-rule/" TargetMode="External"/><Relationship Id="rId5" Type="http://schemas.openxmlformats.org/officeDocument/2006/relationships/hyperlink" Target="https://ncua.gov/regulation-supervision/letters-credit-unions-other-guidance/ncuas-2024-supervisory-priorities" TargetMode="External"/><Relationship Id="rId15" Type="http://schemas.openxmlformats.org/officeDocument/2006/relationships/fontTable" Target="fontTable.xml"/><Relationship Id="rId10" Type="http://schemas.openxmlformats.org/officeDocument/2006/relationships/hyperlink" Target="https://publishedguides.ncua.gov/examiner/Content/ExaminersGuide/Liquidity/RiskManagement/PolicyProcedureLimits.htm" TargetMode="External"/><Relationship Id="rId4" Type="http://schemas.openxmlformats.org/officeDocument/2006/relationships/webSettings" Target="webSettings.xml"/><Relationship Id="rId9" Type="http://schemas.openxmlformats.org/officeDocument/2006/relationships/hyperlink" Target="https://publishedguides.ncua.gov/examiner/Content/ExaminersGuide/Liquidity/RiskManagement/PolicyProcedureLimits.htm" TargetMode="External"/><Relationship Id="rId14" Type="http://schemas.openxmlformats.org/officeDocument/2006/relationships/hyperlink" Target="https://www.consumerfinance.gov/compliance/circulars/circular-2023-03-adverse-action-notification-requirements-and-the-proper-use-of-the-cfpbs-sample-forms-provided-in-regulation-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Mary Ann Koelzer</cp:lastModifiedBy>
  <cp:revision>3</cp:revision>
  <dcterms:created xsi:type="dcterms:W3CDTF">2024-05-30T12:53:00Z</dcterms:created>
  <dcterms:modified xsi:type="dcterms:W3CDTF">2024-05-30T12:54:00Z</dcterms:modified>
</cp:coreProperties>
</file>